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1A62" w:rsidRDefault="00ED2B3C">
      <w:r>
        <w:rPr>
          <w:noProof/>
          <w:lang w:eastAsia="fr-FR"/>
        </w:rPr>
        <mc:AlternateContent>
          <mc:Choice Requires="wps">
            <w:drawing>
              <wp:anchor distT="0" distB="0" distL="114300" distR="114300" simplePos="0" relativeHeight="251658239" behindDoc="0" locked="0" layoutInCell="1" allowOverlap="1">
                <wp:simplePos x="0" y="0"/>
                <wp:positionH relativeFrom="column">
                  <wp:posOffset>2195830</wp:posOffset>
                </wp:positionH>
                <wp:positionV relativeFrom="paragraph">
                  <wp:posOffset>1081405</wp:posOffset>
                </wp:positionV>
                <wp:extent cx="4333875" cy="8391525"/>
                <wp:effectExtent l="0" t="0" r="0" b="0"/>
                <wp:wrapNone/>
                <wp:docPr id="1" name="Rectangle 7"/>
                <wp:cNvGraphicFramePr/>
                <a:graphic xmlns:a="http://schemas.openxmlformats.org/drawingml/2006/main">
                  <a:graphicData uri="http://schemas.microsoft.com/office/word/2010/wordprocessingShape">
                    <wps:wsp>
                      <wps:cNvSpPr/>
                      <wps:spPr bwMode="auto">
                        <a:xfrm>
                          <a:off x="0" y="0"/>
                          <a:ext cx="4333875" cy="8391525"/>
                        </a:xfrm>
                        <a:prstGeom prst="rect">
                          <a:avLst/>
                        </a:prstGeom>
                        <a:noFill/>
                        <a:ln>
                          <a:noFill/>
                        </a:ln>
                      </wps:spPr>
                      <wps:style>
                        <a:lnRef idx="1">
                          <a:schemeClr val="accent4"/>
                        </a:lnRef>
                        <a:fillRef idx="2">
                          <a:schemeClr val="accent4"/>
                        </a:fillRef>
                        <a:effectRef idx="1">
                          <a:schemeClr val="accent4"/>
                        </a:effectRef>
                        <a:fontRef idx="minor">
                          <a:schemeClr val="dk1"/>
                        </a:fontRef>
                      </wps:style>
                      <wps:txbx>
                        <w:txbxContent>
                          <w:p w:rsidR="00391A62" w:rsidRDefault="00ED2B3C">
                            <w:pPr>
                              <w:spacing w:after="0" w:line="240" w:lineRule="auto"/>
                              <w:jc w:val="both"/>
                              <w:rPr>
                                <w:color w:val="000000"/>
                                <w:sz w:val="23"/>
                                <w:szCs w:val="23"/>
                              </w:rPr>
                            </w:pPr>
                            <w:r>
                              <w:rPr>
                                <w:color w:val="000000"/>
                                <w:sz w:val="23"/>
                                <w:szCs w:val="23"/>
                              </w:rPr>
                              <w:t>Les Journées Sport Armées-Jeunesse (JSAJ) sont une belle opportunité de communication pour les armées en direction des jeunes :</w:t>
                            </w:r>
                          </w:p>
                          <w:p w:rsidR="00391A62" w:rsidRDefault="00391A62">
                            <w:pPr>
                              <w:spacing w:after="0" w:line="240" w:lineRule="auto"/>
                              <w:jc w:val="both"/>
                              <w:rPr>
                                <w:color w:val="000000"/>
                                <w:sz w:val="23"/>
                                <w:szCs w:val="23"/>
                              </w:rPr>
                            </w:pPr>
                          </w:p>
                          <w:p w:rsidR="00391A62" w:rsidRDefault="00ED2B3C">
                            <w:pPr>
                              <w:pStyle w:val="Paragraphedeliste"/>
                              <w:numPr>
                                <w:ilvl w:val="0"/>
                                <w:numId w:val="2"/>
                              </w:numPr>
                              <w:spacing w:after="0" w:line="240" w:lineRule="auto"/>
                              <w:jc w:val="both"/>
                              <w:rPr>
                                <w:color w:val="000000"/>
                                <w:sz w:val="23"/>
                                <w:szCs w:val="23"/>
                              </w:rPr>
                            </w:pPr>
                            <w:r>
                              <w:rPr>
                                <w:color w:val="000000"/>
                                <w:sz w:val="23"/>
                                <w:szCs w:val="23"/>
                              </w:rPr>
                              <w:t>Une participation sur une période de 8 mois de novembre 2021 à mai 2022 ;</w:t>
                            </w:r>
                          </w:p>
                          <w:p w:rsidR="00391A62" w:rsidRDefault="00ED2B3C">
                            <w:pPr>
                              <w:pStyle w:val="Paragraphedeliste"/>
                              <w:numPr>
                                <w:ilvl w:val="0"/>
                                <w:numId w:val="2"/>
                              </w:numPr>
                              <w:spacing w:after="0" w:line="240" w:lineRule="auto"/>
                              <w:jc w:val="both"/>
                              <w:rPr>
                                <w:color w:val="000000"/>
                                <w:sz w:val="23"/>
                                <w:szCs w:val="23"/>
                              </w:rPr>
                            </w:pPr>
                            <w:r>
                              <w:rPr>
                                <w:color w:val="000000"/>
                                <w:sz w:val="23"/>
                                <w:szCs w:val="23"/>
                              </w:rPr>
                              <w:t>Un engagement humain afin d’assurer une visibilité accrue des armées par la jeunesse ;</w:t>
                            </w:r>
                          </w:p>
                          <w:p w:rsidR="00391A62" w:rsidRDefault="00ED2B3C">
                            <w:pPr>
                              <w:pStyle w:val="Paragraphedeliste"/>
                              <w:numPr>
                                <w:ilvl w:val="0"/>
                                <w:numId w:val="2"/>
                              </w:numPr>
                              <w:spacing w:after="0" w:line="240" w:lineRule="auto"/>
                              <w:jc w:val="both"/>
                              <w:rPr>
                                <w:color w:val="000000"/>
                                <w:sz w:val="23"/>
                                <w:szCs w:val="23"/>
                              </w:rPr>
                            </w:pPr>
                            <w:r>
                              <w:rPr>
                                <w:color w:val="000000"/>
                                <w:sz w:val="23"/>
                                <w:szCs w:val="23"/>
                              </w:rPr>
                              <w:t>Un investissement à coûts limités ;</w:t>
                            </w:r>
                          </w:p>
                          <w:p w:rsidR="00391A62" w:rsidRDefault="00ED2B3C">
                            <w:pPr>
                              <w:pStyle w:val="Paragraphedeliste"/>
                              <w:numPr>
                                <w:ilvl w:val="0"/>
                                <w:numId w:val="2"/>
                              </w:numPr>
                              <w:spacing w:after="0" w:line="240" w:lineRule="auto"/>
                              <w:jc w:val="both"/>
                              <w:rPr>
                                <w:color w:val="000000"/>
                                <w:sz w:val="23"/>
                                <w:szCs w:val="23"/>
                              </w:rPr>
                            </w:pPr>
                            <w:r>
                              <w:rPr>
                                <w:color w:val="000000"/>
                                <w:sz w:val="23"/>
                                <w:szCs w:val="23"/>
                              </w:rPr>
                              <w:t>Des actions collaboratives à mener par toutes les unités et leur chaîne hiérarchique.</w:t>
                            </w:r>
                          </w:p>
                          <w:p w:rsidR="00391A62" w:rsidRDefault="00391A62">
                            <w:pPr>
                              <w:spacing w:after="0" w:line="240" w:lineRule="auto"/>
                              <w:jc w:val="both"/>
                              <w:rPr>
                                <w:color w:val="000000"/>
                                <w:sz w:val="23"/>
                                <w:szCs w:val="23"/>
                              </w:rPr>
                            </w:pPr>
                          </w:p>
                          <w:p w:rsidR="00391A62" w:rsidRDefault="00391A62">
                            <w:pPr>
                              <w:spacing w:after="0" w:line="240" w:lineRule="auto"/>
                              <w:jc w:val="both"/>
                              <w:rPr>
                                <w:color w:val="000000"/>
                                <w:sz w:val="23"/>
                                <w:szCs w:val="23"/>
                              </w:rPr>
                            </w:pPr>
                          </w:p>
                          <w:p w:rsidR="00391A62" w:rsidRDefault="00ED2B3C">
                            <w:pPr>
                              <w:spacing w:after="0" w:line="240" w:lineRule="auto"/>
                              <w:jc w:val="both"/>
                              <w:rPr>
                                <w:b/>
                                <w:bCs/>
                                <w:color w:val="38368B"/>
                                <w:sz w:val="28"/>
                                <w:szCs w:val="28"/>
                              </w:rPr>
                            </w:pPr>
                            <w:r>
                              <w:rPr>
                                <w:b/>
                                <w:bCs/>
                                <w:color w:val="38368B"/>
                                <w:sz w:val="28"/>
                                <w:szCs w:val="28"/>
                              </w:rPr>
                              <w:t>PRÉPARER - ORGANISER - PILOTER – COMMUNIQUER</w:t>
                            </w:r>
                          </w:p>
                          <w:p w:rsidR="00391A62" w:rsidRDefault="00391A62">
                            <w:pPr>
                              <w:spacing w:after="0" w:line="240" w:lineRule="auto"/>
                              <w:jc w:val="both"/>
                              <w:rPr>
                                <w:b/>
                                <w:bCs/>
                                <w:color w:val="38368B"/>
                                <w:sz w:val="23"/>
                                <w:szCs w:val="23"/>
                              </w:rPr>
                            </w:pPr>
                          </w:p>
                          <w:p w:rsidR="00391A62" w:rsidRDefault="00391A62">
                            <w:pPr>
                              <w:spacing w:after="0" w:line="240" w:lineRule="auto"/>
                              <w:jc w:val="both"/>
                              <w:rPr>
                                <w:b/>
                                <w:bCs/>
                                <w:color w:val="38368B"/>
                                <w:sz w:val="23"/>
                                <w:szCs w:val="23"/>
                              </w:rPr>
                            </w:pPr>
                          </w:p>
                          <w:p w:rsidR="00391A62" w:rsidRDefault="00ED2B3C">
                            <w:pPr>
                              <w:spacing w:after="0" w:line="240" w:lineRule="auto"/>
                              <w:jc w:val="both"/>
                              <w:rPr>
                                <w:color w:val="000000"/>
                                <w:sz w:val="23"/>
                                <w:szCs w:val="23"/>
                              </w:rPr>
                            </w:pPr>
                            <w:r>
                              <w:rPr>
                                <w:color w:val="000000"/>
                                <w:sz w:val="23"/>
                                <w:szCs w:val="23"/>
                              </w:rPr>
                              <w:t>Lancées en 2003, les JSAJ ont vu leur existence confirmée par l’accord cadre du 4 mars 2014 signé entre le ministère de la Défense, le ministre de l’Intérieur et le ministre des Sports, de la jeunesse, de l’éducation populaire et de la vie associative et de la santé, chargé des personnes handicapées et de la lutte contre l’exclusion pour le développement de la pratique sportive pour tous et le sport de haut niveau.</w:t>
                            </w:r>
                          </w:p>
                          <w:p w:rsidR="00391A62" w:rsidRDefault="00391A62">
                            <w:pPr>
                              <w:spacing w:after="0" w:line="240" w:lineRule="auto"/>
                              <w:jc w:val="both"/>
                              <w:rPr>
                                <w:color w:val="000000"/>
                                <w:sz w:val="23"/>
                                <w:szCs w:val="23"/>
                              </w:rPr>
                            </w:pPr>
                          </w:p>
                          <w:p w:rsidR="00391A62" w:rsidRDefault="00ED2B3C">
                            <w:pPr>
                              <w:spacing w:after="0" w:line="240" w:lineRule="auto"/>
                              <w:jc w:val="both"/>
                              <w:rPr>
                                <w:color w:val="000000"/>
                                <w:sz w:val="23"/>
                                <w:szCs w:val="23"/>
                              </w:rPr>
                            </w:pPr>
                            <w:r>
                              <w:rPr>
                                <w:color w:val="000000"/>
                                <w:sz w:val="23"/>
                                <w:szCs w:val="23"/>
                              </w:rPr>
                              <w:t>Les JSAJ représentent une occasion privilégiée, à travers le sport, valeur partagée entre les jeunes et les militaires, de faire connaître la défense et les armées. Cette activité permet de conforter ou d’établir des liens entre des établissements scolaires d’enseignement de tous niveaux, des associations, des collectivités locales et des unités militaires.</w:t>
                            </w:r>
                          </w:p>
                          <w:p w:rsidR="00391A62" w:rsidRDefault="00391A62">
                            <w:pPr>
                              <w:spacing w:after="0" w:line="240" w:lineRule="auto"/>
                              <w:jc w:val="both"/>
                              <w:rPr>
                                <w:color w:val="000000"/>
                                <w:sz w:val="23"/>
                                <w:szCs w:val="23"/>
                              </w:rPr>
                            </w:pPr>
                          </w:p>
                          <w:p w:rsidR="00391A62" w:rsidRDefault="00ED2B3C">
                            <w:pPr>
                              <w:spacing w:after="0" w:line="240" w:lineRule="auto"/>
                              <w:jc w:val="both"/>
                              <w:rPr>
                                <w:color w:val="000000"/>
                                <w:sz w:val="23"/>
                                <w:szCs w:val="23"/>
                              </w:rPr>
                            </w:pPr>
                            <w:r>
                              <w:rPr>
                                <w:color w:val="000000"/>
                                <w:sz w:val="23"/>
                                <w:szCs w:val="23"/>
                              </w:rPr>
                              <w:t>Ces activités sont coordonnées au niveau national par la Commission armées-jeunesse (CAJ). Cette année, elles se dérouleront du 10 novembre 2021 au 31 mai 2022.</w:t>
                            </w:r>
                          </w:p>
                          <w:p w:rsidR="00391A62" w:rsidRDefault="00391A62">
                            <w:pPr>
                              <w:spacing w:after="0" w:line="240" w:lineRule="auto"/>
                              <w:jc w:val="both"/>
                              <w:rPr>
                                <w:color w:val="000000"/>
                                <w:sz w:val="23"/>
                                <w:szCs w:val="23"/>
                              </w:rPr>
                            </w:pPr>
                          </w:p>
                          <w:p w:rsidR="00391A62" w:rsidRDefault="00ED2B3C">
                            <w:pPr>
                              <w:spacing w:after="0" w:line="240" w:lineRule="auto"/>
                              <w:jc w:val="both"/>
                              <w:rPr>
                                <w:color w:val="000000"/>
                                <w:sz w:val="23"/>
                                <w:szCs w:val="23"/>
                              </w:rPr>
                            </w:pPr>
                            <w:r>
                              <w:rPr>
                                <w:color w:val="000000"/>
                                <w:sz w:val="23"/>
                                <w:szCs w:val="23"/>
                              </w:rPr>
                              <w:t xml:space="preserve">Au niveau national, une activité de lancement sera organisée </w:t>
                            </w:r>
                            <w:r>
                              <w:rPr>
                                <w:sz w:val="23"/>
                                <w:szCs w:val="23"/>
                              </w:rPr>
                              <w:t>à</w:t>
                            </w:r>
                            <w:r w:rsidR="008E6F27">
                              <w:rPr>
                                <w:sz w:val="23"/>
                                <w:szCs w:val="23"/>
                              </w:rPr>
                              <w:t xml:space="preserve"> l’école des officiers de la gendarmerie nationale à M</w:t>
                            </w:r>
                            <w:bookmarkStart w:id="0" w:name="_GoBack"/>
                            <w:bookmarkEnd w:id="0"/>
                            <w:r w:rsidR="008E6F27">
                              <w:rPr>
                                <w:sz w:val="23"/>
                                <w:szCs w:val="23"/>
                              </w:rPr>
                              <w:t>elun</w:t>
                            </w:r>
                            <w:r>
                              <w:rPr>
                                <w:sz w:val="23"/>
                                <w:szCs w:val="23"/>
                              </w:rPr>
                              <w:t xml:space="preserve"> </w:t>
                            </w:r>
                            <w:r w:rsidR="008E6F27">
                              <w:rPr>
                                <w:color w:val="000000"/>
                                <w:sz w:val="23"/>
                                <w:szCs w:val="23"/>
                              </w:rPr>
                              <w:t>le mercredi 10 novembre 2021</w:t>
                            </w:r>
                            <w:r>
                              <w:rPr>
                                <w:color w:val="000000"/>
                                <w:sz w:val="23"/>
                                <w:szCs w:val="23"/>
                              </w:rPr>
                              <w:t>.</w:t>
                            </w:r>
                          </w:p>
                          <w:p w:rsidR="00391A62" w:rsidRDefault="00391A62">
                            <w:pPr>
                              <w:spacing w:after="0" w:line="240" w:lineRule="auto"/>
                              <w:jc w:val="both"/>
                              <w:rPr>
                                <w:color w:val="000000"/>
                                <w:sz w:val="23"/>
                                <w:szCs w:val="23"/>
                              </w:rPr>
                            </w:pPr>
                          </w:p>
                          <w:p w:rsidR="00391A62" w:rsidRDefault="00ED2B3C">
                            <w:pPr>
                              <w:spacing w:after="0" w:line="240" w:lineRule="auto"/>
                              <w:jc w:val="both"/>
                              <w:rPr>
                                <w:color w:val="000000"/>
                                <w:sz w:val="23"/>
                                <w:szCs w:val="23"/>
                              </w:rPr>
                            </w:pPr>
                            <w:r>
                              <w:rPr>
                                <w:color w:val="000000"/>
                                <w:sz w:val="23"/>
                                <w:szCs w:val="23"/>
                              </w:rPr>
                              <w:t>L’objectif des JSAJ est d’offrir l’occasion à chaque équipe candidate d’organiser une activité incluant une rencontre sportive, une présentation de son projet et de ses missions dans un cadre militaire. Cette démarche doit traduire le rayonnement de la défense, de ses armées et de ses services.</w:t>
                            </w:r>
                          </w:p>
                          <w:p w:rsidR="00391A62" w:rsidRDefault="00391A62">
                            <w:pPr>
                              <w:spacing w:after="0" w:line="240" w:lineRule="auto"/>
                              <w:jc w:val="both"/>
                              <w:rPr>
                                <w:color w:val="000000"/>
                                <w:sz w:val="23"/>
                                <w:szCs w:val="23"/>
                              </w:rPr>
                            </w:pPr>
                          </w:p>
                          <w:p w:rsidR="00391A62" w:rsidRDefault="00ED2B3C">
                            <w:pPr>
                              <w:spacing w:after="0" w:line="240" w:lineRule="auto"/>
                              <w:jc w:val="both"/>
                              <w:rPr>
                                <w:color w:val="000000"/>
                                <w:sz w:val="23"/>
                                <w:szCs w:val="23"/>
                              </w:rPr>
                            </w:pPr>
                            <w:r>
                              <w:rPr>
                                <w:color w:val="000000"/>
                                <w:sz w:val="23"/>
                                <w:szCs w:val="23"/>
                              </w:rPr>
                              <w:t>Chaque armée, direction et service pourra tendre à organiser une activité de niveau national, afin de favoriser la dynamique de cet évènement et de lui donner une visibilité plus large.</w:t>
                            </w:r>
                          </w:p>
                          <w:p w:rsidR="00391A62" w:rsidRDefault="00391A62">
                            <w:pPr>
                              <w:spacing w:after="0" w:line="240" w:lineRule="auto"/>
                              <w:jc w:val="both"/>
                              <w:rPr>
                                <w:color w:val="000000"/>
                                <w:sz w:val="23"/>
                                <w:szCs w:val="23"/>
                              </w:rPr>
                            </w:pPr>
                          </w:p>
                          <w:p w:rsidR="00391A62" w:rsidRDefault="00391A62">
                            <w:pPr>
                              <w:spacing w:after="0" w:line="240" w:lineRule="auto"/>
                              <w:jc w:val="both"/>
                              <w:rPr>
                                <w:color w:val="000000"/>
                                <w:sz w:val="23"/>
                                <w:szCs w:val="2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172.9pt;margin-top:85.15pt;width:341.25pt;height:660.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" filled="f" stroked="f" strokeweight=".5pt">
                <v:shadow on="t" color="black" opacity="24903f" origin=",.5" offset="0,.55556mm"/>
                <v:textbox>
                  <w:txbxContent>
                    <w:p w:rsidR="00391A62" w:rsidRDefault="00ED2B3C">
                      <w:pPr>
                        <w:spacing w:after="0" w:line="240" w:lineRule="auto"/>
                        <w:jc w:val="both"/>
                        <w:rPr>
                          <w:color w:val="000000"/>
                          <w:sz w:val="23"/>
                          <w:szCs w:val="23"/>
                        </w:rPr>
                      </w:pPr>
                      <w:r>
                        <w:rPr>
                          <w:color w:val="000000"/>
                          <w:sz w:val="23"/>
                          <w:szCs w:val="23"/>
                        </w:rPr>
                        <w:t>Les Journées Sport Armées-Jeunesse (JSAJ) sont une belle opportunité de communication pour les armées en direction des jeunes :</w:t>
                      </w:r>
                    </w:p>
                    <w:p w:rsidR="00391A62" w:rsidRDefault="00391A62">
                      <w:pPr>
                        <w:spacing w:after="0" w:line="240" w:lineRule="auto"/>
                        <w:jc w:val="both"/>
                        <w:rPr>
                          <w:color w:val="000000"/>
                          <w:sz w:val="23"/>
                          <w:szCs w:val="23"/>
                        </w:rPr>
                      </w:pPr>
                    </w:p>
                    <w:p w:rsidR="00391A62" w:rsidRDefault="00ED2B3C">
                      <w:pPr>
                        <w:pStyle w:val="Paragraphedeliste"/>
                        <w:numPr>
                          <w:ilvl w:val="0"/>
                          <w:numId w:val="2"/>
                        </w:numPr>
                        <w:spacing w:after="0" w:line="240" w:lineRule="auto"/>
                        <w:jc w:val="both"/>
                        <w:rPr>
                          <w:color w:val="000000"/>
                          <w:sz w:val="23"/>
                          <w:szCs w:val="23"/>
                        </w:rPr>
                      </w:pPr>
                      <w:r>
                        <w:rPr>
                          <w:color w:val="000000"/>
                          <w:sz w:val="23"/>
                          <w:szCs w:val="23"/>
                        </w:rPr>
                        <w:t>Une participation sur une période de 8 mois de novembre 2021 à mai 2022 ;</w:t>
                      </w:r>
                    </w:p>
                    <w:p w:rsidR="00391A62" w:rsidRDefault="00ED2B3C">
                      <w:pPr>
                        <w:pStyle w:val="Paragraphedeliste"/>
                        <w:numPr>
                          <w:ilvl w:val="0"/>
                          <w:numId w:val="2"/>
                        </w:numPr>
                        <w:spacing w:after="0" w:line="240" w:lineRule="auto"/>
                        <w:jc w:val="both"/>
                        <w:rPr>
                          <w:color w:val="000000"/>
                          <w:sz w:val="23"/>
                          <w:szCs w:val="23"/>
                        </w:rPr>
                      </w:pPr>
                      <w:r>
                        <w:rPr>
                          <w:color w:val="000000"/>
                          <w:sz w:val="23"/>
                          <w:szCs w:val="23"/>
                        </w:rPr>
                        <w:t>Un engagement humain afin d’assurer une visibilité accrue des armées par la jeunesse ;</w:t>
                      </w:r>
                    </w:p>
                    <w:p w:rsidR="00391A62" w:rsidRDefault="00ED2B3C">
                      <w:pPr>
                        <w:pStyle w:val="Paragraphedeliste"/>
                        <w:numPr>
                          <w:ilvl w:val="0"/>
                          <w:numId w:val="2"/>
                        </w:numPr>
                        <w:spacing w:after="0" w:line="240" w:lineRule="auto"/>
                        <w:jc w:val="both"/>
                        <w:rPr>
                          <w:color w:val="000000"/>
                          <w:sz w:val="23"/>
                          <w:szCs w:val="23"/>
                        </w:rPr>
                      </w:pPr>
                      <w:r>
                        <w:rPr>
                          <w:color w:val="000000"/>
                          <w:sz w:val="23"/>
                          <w:szCs w:val="23"/>
                        </w:rPr>
                        <w:t>Un investissement à coûts limités ;</w:t>
                      </w:r>
                    </w:p>
                    <w:p w:rsidR="00391A62" w:rsidRDefault="00ED2B3C">
                      <w:pPr>
                        <w:pStyle w:val="Paragraphedeliste"/>
                        <w:numPr>
                          <w:ilvl w:val="0"/>
                          <w:numId w:val="2"/>
                        </w:numPr>
                        <w:spacing w:after="0" w:line="240" w:lineRule="auto"/>
                        <w:jc w:val="both"/>
                        <w:rPr>
                          <w:color w:val="000000"/>
                          <w:sz w:val="23"/>
                          <w:szCs w:val="23"/>
                        </w:rPr>
                      </w:pPr>
                      <w:r>
                        <w:rPr>
                          <w:color w:val="000000"/>
                          <w:sz w:val="23"/>
                          <w:szCs w:val="23"/>
                        </w:rPr>
                        <w:t>Des actions collaboratives à mener par toutes les unités et leur chaîne hiérarchique.</w:t>
                      </w:r>
                    </w:p>
                    <w:p w:rsidR="00391A62" w:rsidRDefault="00391A62">
                      <w:pPr>
                        <w:spacing w:after="0" w:line="240" w:lineRule="auto"/>
                        <w:jc w:val="both"/>
                        <w:rPr>
                          <w:color w:val="000000"/>
                          <w:sz w:val="23"/>
                          <w:szCs w:val="23"/>
                        </w:rPr>
                      </w:pPr>
                    </w:p>
                    <w:p w:rsidR="00391A62" w:rsidRDefault="00391A62">
                      <w:pPr>
                        <w:spacing w:after="0" w:line="240" w:lineRule="auto"/>
                        <w:jc w:val="both"/>
                        <w:rPr>
                          <w:color w:val="000000"/>
                          <w:sz w:val="23"/>
                          <w:szCs w:val="23"/>
                        </w:rPr>
                      </w:pPr>
                    </w:p>
                    <w:p w:rsidR="00391A62" w:rsidRDefault="00ED2B3C">
                      <w:pPr>
                        <w:spacing w:after="0" w:line="240" w:lineRule="auto"/>
                        <w:jc w:val="both"/>
                        <w:rPr>
                          <w:b/>
                          <w:bCs/>
                          <w:color w:val="38368B"/>
                          <w:sz w:val="28"/>
                          <w:szCs w:val="28"/>
                        </w:rPr>
                      </w:pPr>
                      <w:r>
                        <w:rPr>
                          <w:b/>
                          <w:bCs/>
                          <w:color w:val="38368B"/>
                          <w:sz w:val="28"/>
                          <w:szCs w:val="28"/>
                        </w:rPr>
                        <w:t>PRÉPARER - ORGANISER - PILOTER – COMMUNIQUER</w:t>
                      </w:r>
                    </w:p>
                    <w:p w:rsidR="00391A62" w:rsidRDefault="00391A62">
                      <w:pPr>
                        <w:spacing w:after="0" w:line="240" w:lineRule="auto"/>
                        <w:jc w:val="both"/>
                        <w:rPr>
                          <w:b/>
                          <w:bCs/>
                          <w:color w:val="38368B"/>
                          <w:sz w:val="23"/>
                          <w:szCs w:val="23"/>
                        </w:rPr>
                      </w:pPr>
                    </w:p>
                    <w:p w:rsidR="00391A62" w:rsidRDefault="00391A62">
                      <w:pPr>
                        <w:spacing w:after="0" w:line="240" w:lineRule="auto"/>
                        <w:jc w:val="both"/>
                        <w:rPr>
                          <w:b/>
                          <w:bCs/>
                          <w:color w:val="38368B"/>
                          <w:sz w:val="23"/>
                          <w:szCs w:val="23"/>
                        </w:rPr>
                      </w:pPr>
                    </w:p>
                    <w:p w:rsidR="00391A62" w:rsidRDefault="00ED2B3C">
                      <w:pPr>
                        <w:spacing w:after="0" w:line="240" w:lineRule="auto"/>
                        <w:jc w:val="both"/>
                        <w:rPr>
                          <w:color w:val="000000"/>
                          <w:sz w:val="23"/>
                          <w:szCs w:val="23"/>
                        </w:rPr>
                      </w:pPr>
                      <w:r>
                        <w:rPr>
                          <w:color w:val="000000"/>
                          <w:sz w:val="23"/>
                          <w:szCs w:val="23"/>
                        </w:rPr>
                        <w:t>Lancées en 2003, les JSAJ ont vu leur existence confirmée par l’accord cadre du 4 mars 2014 signé entre le ministère de la Défense, le ministre de l’Intérieur et le ministre des Sports, de la jeunesse, de l’éducation populaire et de la vie associative et de la santé, chargé des personnes handicapées et de la lutte contre l’exclusion pour le développement de la pratique sportive pour tous et le sport de haut niveau.</w:t>
                      </w:r>
                    </w:p>
                    <w:p w:rsidR="00391A62" w:rsidRDefault="00391A62">
                      <w:pPr>
                        <w:spacing w:after="0" w:line="240" w:lineRule="auto"/>
                        <w:jc w:val="both"/>
                        <w:rPr>
                          <w:color w:val="000000"/>
                          <w:sz w:val="23"/>
                          <w:szCs w:val="23"/>
                        </w:rPr>
                      </w:pPr>
                    </w:p>
                    <w:p w:rsidR="00391A62" w:rsidRDefault="00ED2B3C">
                      <w:pPr>
                        <w:spacing w:after="0" w:line="240" w:lineRule="auto"/>
                        <w:jc w:val="both"/>
                        <w:rPr>
                          <w:color w:val="000000"/>
                          <w:sz w:val="23"/>
                          <w:szCs w:val="23"/>
                        </w:rPr>
                      </w:pPr>
                      <w:r>
                        <w:rPr>
                          <w:color w:val="000000"/>
                          <w:sz w:val="23"/>
                          <w:szCs w:val="23"/>
                        </w:rPr>
                        <w:t>Les JSAJ représentent une occasion privilégiée, à travers le sport, valeur partagée entre les jeunes et les militaires, de faire connaître la défense et les armées. Cette activité permet de conforter ou d’établir des liens entre des établissements scolaires d’enseignement de tous niveaux, des associations, des collectivités locales et des unités militaires.</w:t>
                      </w:r>
                    </w:p>
                    <w:p w:rsidR="00391A62" w:rsidRDefault="00391A62">
                      <w:pPr>
                        <w:spacing w:after="0" w:line="240" w:lineRule="auto"/>
                        <w:jc w:val="both"/>
                        <w:rPr>
                          <w:color w:val="000000"/>
                          <w:sz w:val="23"/>
                          <w:szCs w:val="23"/>
                        </w:rPr>
                      </w:pPr>
                    </w:p>
                    <w:p w:rsidR="00391A62" w:rsidRDefault="00ED2B3C">
                      <w:pPr>
                        <w:spacing w:after="0" w:line="240" w:lineRule="auto"/>
                        <w:jc w:val="both"/>
                        <w:rPr>
                          <w:color w:val="000000"/>
                          <w:sz w:val="23"/>
                          <w:szCs w:val="23"/>
                        </w:rPr>
                      </w:pPr>
                      <w:r>
                        <w:rPr>
                          <w:color w:val="000000"/>
                          <w:sz w:val="23"/>
                          <w:szCs w:val="23"/>
                        </w:rPr>
                        <w:t>Ces activités sont coordonnées au niveau national par la Commission armées-jeunesse (CAJ). Cette année, elles se dérouleront du 10 novembre 2021 au 31 mai 2022.</w:t>
                      </w:r>
                    </w:p>
                    <w:p w:rsidR="00391A62" w:rsidRDefault="00391A62">
                      <w:pPr>
                        <w:spacing w:after="0" w:line="240" w:lineRule="auto"/>
                        <w:jc w:val="both"/>
                        <w:rPr>
                          <w:color w:val="000000"/>
                          <w:sz w:val="23"/>
                          <w:szCs w:val="23"/>
                        </w:rPr>
                      </w:pPr>
                    </w:p>
                    <w:p w:rsidR="00391A62" w:rsidRDefault="00ED2B3C">
                      <w:pPr>
                        <w:spacing w:after="0" w:line="240" w:lineRule="auto"/>
                        <w:jc w:val="both"/>
                        <w:rPr>
                          <w:color w:val="000000"/>
                          <w:sz w:val="23"/>
                          <w:szCs w:val="23"/>
                        </w:rPr>
                      </w:pPr>
                      <w:r>
                        <w:rPr>
                          <w:color w:val="000000"/>
                          <w:sz w:val="23"/>
                          <w:szCs w:val="23"/>
                        </w:rPr>
                        <w:t xml:space="preserve">Au niveau national, une activité de lancement sera organisée </w:t>
                      </w:r>
                      <w:r>
                        <w:rPr>
                          <w:sz w:val="23"/>
                          <w:szCs w:val="23"/>
                        </w:rPr>
                        <w:t>à</w:t>
                      </w:r>
                      <w:r w:rsidR="008E6F27">
                        <w:rPr>
                          <w:sz w:val="23"/>
                          <w:szCs w:val="23"/>
                        </w:rPr>
                        <w:t xml:space="preserve"> l’école des officiers de la gendarmerie nationale à M</w:t>
                      </w:r>
                      <w:bookmarkStart w:id="1" w:name="_GoBack"/>
                      <w:bookmarkEnd w:id="1"/>
                      <w:r w:rsidR="008E6F27">
                        <w:rPr>
                          <w:sz w:val="23"/>
                          <w:szCs w:val="23"/>
                        </w:rPr>
                        <w:t>elun</w:t>
                      </w:r>
                      <w:r>
                        <w:rPr>
                          <w:sz w:val="23"/>
                          <w:szCs w:val="23"/>
                        </w:rPr>
                        <w:t xml:space="preserve"> </w:t>
                      </w:r>
                      <w:r w:rsidR="008E6F27">
                        <w:rPr>
                          <w:color w:val="000000"/>
                          <w:sz w:val="23"/>
                          <w:szCs w:val="23"/>
                        </w:rPr>
                        <w:t>le mercredi 10 novembre 2021</w:t>
                      </w:r>
                      <w:r>
                        <w:rPr>
                          <w:color w:val="000000"/>
                          <w:sz w:val="23"/>
                          <w:szCs w:val="23"/>
                        </w:rPr>
                        <w:t>.</w:t>
                      </w:r>
                    </w:p>
                    <w:p w:rsidR="00391A62" w:rsidRDefault="00391A62">
                      <w:pPr>
                        <w:spacing w:after="0" w:line="240" w:lineRule="auto"/>
                        <w:jc w:val="both"/>
                        <w:rPr>
                          <w:color w:val="000000"/>
                          <w:sz w:val="23"/>
                          <w:szCs w:val="23"/>
                        </w:rPr>
                      </w:pPr>
                    </w:p>
                    <w:p w:rsidR="00391A62" w:rsidRDefault="00ED2B3C">
                      <w:pPr>
                        <w:spacing w:after="0" w:line="240" w:lineRule="auto"/>
                        <w:jc w:val="both"/>
                        <w:rPr>
                          <w:color w:val="000000"/>
                          <w:sz w:val="23"/>
                          <w:szCs w:val="23"/>
                        </w:rPr>
                      </w:pPr>
                      <w:r>
                        <w:rPr>
                          <w:color w:val="000000"/>
                          <w:sz w:val="23"/>
                          <w:szCs w:val="23"/>
                        </w:rPr>
                        <w:t>L’objectif des JSAJ est d’offrir l’occasion à chaque équipe candidate d’organiser une activité incluant une rencontre sportive, une présentation de son projet et de ses missions dans un cadre militaire. Cette démarche doit traduire le rayonnement de la défense, de ses armées et de ses services.</w:t>
                      </w:r>
                    </w:p>
                    <w:p w:rsidR="00391A62" w:rsidRDefault="00391A62">
                      <w:pPr>
                        <w:spacing w:after="0" w:line="240" w:lineRule="auto"/>
                        <w:jc w:val="both"/>
                        <w:rPr>
                          <w:color w:val="000000"/>
                          <w:sz w:val="23"/>
                          <w:szCs w:val="23"/>
                        </w:rPr>
                      </w:pPr>
                    </w:p>
                    <w:p w:rsidR="00391A62" w:rsidRDefault="00ED2B3C">
                      <w:pPr>
                        <w:spacing w:after="0" w:line="240" w:lineRule="auto"/>
                        <w:jc w:val="both"/>
                        <w:rPr>
                          <w:color w:val="000000"/>
                          <w:sz w:val="23"/>
                          <w:szCs w:val="23"/>
                        </w:rPr>
                      </w:pPr>
                      <w:r>
                        <w:rPr>
                          <w:color w:val="000000"/>
                          <w:sz w:val="23"/>
                          <w:szCs w:val="23"/>
                        </w:rPr>
                        <w:t>Chaque armée, direction et service pourra tendre à organiser une activité de niveau national, afin de favoriser la dynamique de cet évènement et de lui donner une visibilité plus large.</w:t>
                      </w:r>
                    </w:p>
                    <w:p w:rsidR="00391A62" w:rsidRDefault="00391A62">
                      <w:pPr>
                        <w:spacing w:after="0" w:line="240" w:lineRule="auto"/>
                        <w:jc w:val="both"/>
                        <w:rPr>
                          <w:color w:val="000000"/>
                          <w:sz w:val="23"/>
                          <w:szCs w:val="23"/>
                        </w:rPr>
                      </w:pPr>
                    </w:p>
                    <w:p w:rsidR="00391A62" w:rsidRDefault="00391A62">
                      <w:pPr>
                        <w:spacing w:after="0" w:line="240" w:lineRule="auto"/>
                        <w:jc w:val="both"/>
                        <w:rPr>
                          <w:color w:val="000000"/>
                          <w:sz w:val="23"/>
                          <w:szCs w:val="23"/>
                        </w:rPr>
                      </w:pPr>
                    </w:p>
                  </w:txbxContent>
                </v:textbox>
              </v:rect>
            </w:pict>
          </mc:Fallback>
        </mc:AlternateContent>
      </w:r>
      <w:r>
        <w:rPr>
          <w:noProof/>
          <w:lang w:eastAsia="fr-FR"/>
        </w:rPr>
        <mc:AlternateContent>
          <mc:Choice Requires="wpg">
            <w:drawing>
              <wp:anchor distT="0" distB="0" distL="114300" distR="114300" simplePos="0" relativeHeight="251662336" behindDoc="0" locked="0" layoutInCell="1" allowOverlap="1">
                <wp:simplePos x="0" y="0"/>
                <wp:positionH relativeFrom="margin">
                  <wp:posOffset>-66675</wp:posOffset>
                </wp:positionH>
                <wp:positionV relativeFrom="paragraph">
                  <wp:posOffset>1193800</wp:posOffset>
                </wp:positionV>
                <wp:extent cx="1541780" cy="901065"/>
                <wp:effectExtent l="0" t="0" r="1270" b="0"/>
                <wp:wrapNone/>
                <wp:docPr id="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pic:blipFill>
                      <pic:spPr bwMode="auto">
                        <a:xfrm>
                          <a:off x="0" y="0"/>
                          <a:ext cx="1541780" cy="90106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251662336;o:allowoverlap:true;o:allowincell:true;mso-position-horizontal-relative:margin;margin-left:-5.2pt;mso-position-horizontal:absolute;mso-position-vertical-relative:text;margin-top:94.0pt;mso-position-vertical:absolute;width:121.4pt;height:71.0pt;">
                <v:path textboxrect="0,0,0,0"/>
                <v:imagedata r:id="rId10" o:title=""/>
              </v:shape>
            </w:pict>
          </mc:Fallback>
        </mc:AlternateContent>
      </w:r>
      <w:r>
        <w:rPr>
          <w:noProof/>
          <w:lang w:eastAsia="fr-FR"/>
        </w:rPr>
        <mc:AlternateContent>
          <mc:Choice Requires="wpg">
            <w:drawing>
              <wp:anchor distT="0" distB="0" distL="114300" distR="114300" simplePos="0" relativeHeight="251661312" behindDoc="0" locked="0" layoutInCell="1" allowOverlap="1">
                <wp:simplePos x="0" y="0"/>
                <wp:positionH relativeFrom="margin">
                  <wp:posOffset>3983668</wp:posOffset>
                </wp:positionH>
                <wp:positionV relativeFrom="paragraph">
                  <wp:posOffset>-417830</wp:posOffset>
                </wp:positionV>
                <wp:extent cx="2539365" cy="1380490"/>
                <wp:effectExtent l="190500" t="171450" r="165735" b="16256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pic:cNvPicPr>
                      </pic:nvPicPr>
                      <pic:blipFill>
                        <a:blip r:embed="rId11"/>
                        <a:stretch/>
                      </pic:blipFill>
                      <pic:spPr bwMode="auto">
                        <a:xfrm>
                          <a:off x="0" y="0"/>
                          <a:ext cx="2539365" cy="1380490"/>
                        </a:xfrm>
                        <a:prstGeom prst="rect">
                          <a:avLst/>
                        </a:prstGeom>
                        <a:ln>
                          <a:noFill/>
                        </a:ln>
                        <a:effectLst>
                          <a:outerShdw blurRad="190500" rotWithShape="0">
                            <a:srgbClr val="000000">
                              <a:alpha val="70000"/>
                            </a:srgbClr>
                          </a:outerShdw>
                        </a:effectLst>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251661312;o:allowoverlap:true;o:allowincell:true;mso-position-horizontal-relative:margin;margin-left:313.7pt;mso-position-horizontal:absolute;mso-position-vertical-relative:text;margin-top:-32.9pt;mso-position-vertical:absolute;width:199.9pt;height:108.7pt;">
                <v:path textboxrect="0,0,0,0"/>
                <v:imagedata r:id="rId12" o:title=""/>
              </v:shape>
            </w:pict>
          </mc:Fallback>
        </mc:AlternateContent>
      </w:r>
      <w:r>
        <w:rPr>
          <w:noProof/>
          <w:lang w:eastAsia="fr-FR"/>
        </w:rPr>
        <mc:AlternateContent>
          <mc:Choice Requires="wps">
            <w:drawing>
              <wp:anchor distT="0" distB="0" distL="114300" distR="114300" simplePos="0" relativeHeight="251660288" behindDoc="0" locked="0" layoutInCell="1" allowOverlap="1">
                <wp:simplePos x="0" y="0"/>
                <wp:positionH relativeFrom="column">
                  <wp:posOffset>-721665</wp:posOffset>
                </wp:positionH>
                <wp:positionV relativeFrom="paragraph">
                  <wp:posOffset>988382</wp:posOffset>
                </wp:positionV>
                <wp:extent cx="2802073" cy="8774430"/>
                <wp:effectExtent l="0" t="0" r="0" b="7620"/>
                <wp:wrapNone/>
                <wp:docPr id="4" name="Rectangle 4"/>
                <wp:cNvGraphicFramePr/>
                <a:graphic xmlns:a="http://schemas.openxmlformats.org/drawingml/2006/main">
                  <a:graphicData uri="http://schemas.microsoft.com/office/word/2010/wordprocessingShape">
                    <wps:wsp>
                      <wps:cNvSpPr/>
                      <wps:spPr bwMode="auto">
                        <a:xfrm>
                          <a:off x="0" y="0"/>
                          <a:ext cx="2802073" cy="877443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1A62" w:rsidRDefault="00391A62">
                            <w:pPr>
                              <w:spacing w:after="0" w:line="240" w:lineRule="auto"/>
                              <w:jc w:val="center"/>
                              <w:rPr>
                                <w:b/>
                                <w:bCs/>
                                <w:i/>
                                <w:iCs/>
                                <w:sz w:val="28"/>
                                <w:szCs w:val="28"/>
                              </w:rPr>
                            </w:pPr>
                          </w:p>
                          <w:p w:rsidR="00391A62" w:rsidRDefault="00391A62">
                            <w:pPr>
                              <w:spacing w:after="0" w:line="240" w:lineRule="auto"/>
                              <w:jc w:val="center"/>
                              <w:rPr>
                                <w:b/>
                                <w:bCs/>
                                <w:i/>
                                <w:iCs/>
                                <w:sz w:val="28"/>
                                <w:szCs w:val="28"/>
                              </w:rPr>
                            </w:pPr>
                          </w:p>
                          <w:p w:rsidR="00391A62" w:rsidRDefault="00ED2B3C">
                            <w:pPr>
                              <w:spacing w:after="0" w:line="240" w:lineRule="auto"/>
                              <w:jc w:val="center"/>
                              <w:rPr>
                                <w:b/>
                                <w:bCs/>
                                <w:i/>
                                <w:iCs/>
                                <w:sz w:val="28"/>
                                <w:szCs w:val="28"/>
                              </w:rPr>
                            </w:pPr>
                            <w:r>
                              <w:rPr>
                                <w:b/>
                                <w:bCs/>
                                <w:i/>
                                <w:iCs/>
                                <w:sz w:val="28"/>
                                <w:szCs w:val="28"/>
                              </w:rPr>
                              <w:t>LES JSAJ</w:t>
                            </w:r>
                          </w:p>
                          <w:p w:rsidR="00391A62" w:rsidRDefault="00391A62">
                            <w:pPr>
                              <w:spacing w:after="0" w:line="240" w:lineRule="auto"/>
                              <w:jc w:val="center"/>
                              <w:rPr>
                                <w:b/>
                                <w:bCs/>
                                <w:i/>
                                <w:iCs/>
                                <w:sz w:val="28"/>
                                <w:szCs w:val="28"/>
                              </w:rPr>
                            </w:pPr>
                          </w:p>
                          <w:p w:rsidR="00391A62" w:rsidRDefault="00391A62">
                            <w:pPr>
                              <w:spacing w:after="0" w:line="240" w:lineRule="auto"/>
                              <w:jc w:val="both"/>
                              <w:rPr>
                                <w:b/>
                                <w:bCs/>
                                <w:sz w:val="28"/>
                                <w:szCs w:val="28"/>
                              </w:rPr>
                            </w:pPr>
                          </w:p>
                          <w:p w:rsidR="00391A62" w:rsidRDefault="00ED2B3C">
                            <w:pPr>
                              <w:spacing w:after="0" w:line="240" w:lineRule="auto"/>
                              <w:jc w:val="both"/>
                              <w:rPr>
                                <w:b/>
                                <w:bCs/>
                                <w:sz w:val="28"/>
                                <w:szCs w:val="28"/>
                              </w:rPr>
                            </w:pPr>
                            <w:r>
                              <w:rPr>
                                <w:b/>
                                <w:bCs/>
                                <w:sz w:val="28"/>
                                <w:szCs w:val="28"/>
                              </w:rPr>
                              <w:t>C’est un rendez-vous annuel entre l’armée et la jeunesse, une rencontre pour échanger et faire mutuellement connaissance. Le sport est un vecteur commun à l’armée et à la jeunesse qui trouve naturellement sa place dans cette manifestation de grande ampleur.</w:t>
                            </w:r>
                          </w:p>
                          <w:p w:rsidR="00391A62" w:rsidRDefault="00391A62">
                            <w:pPr>
                              <w:spacing w:after="0" w:line="240" w:lineRule="auto"/>
                              <w:jc w:val="both"/>
                              <w:rPr>
                                <w:b/>
                                <w:bCs/>
                                <w:sz w:val="28"/>
                                <w:szCs w:val="28"/>
                              </w:rPr>
                            </w:pPr>
                          </w:p>
                          <w:p w:rsidR="00391A62" w:rsidRDefault="00ED2B3C">
                            <w:pPr>
                              <w:spacing w:after="0" w:line="240" w:lineRule="auto"/>
                              <w:jc w:val="both"/>
                              <w:rPr>
                                <w:b/>
                                <w:bCs/>
                                <w:sz w:val="28"/>
                                <w:szCs w:val="28"/>
                              </w:rPr>
                            </w:pPr>
                            <w:r>
                              <w:rPr>
                                <w:b/>
                                <w:bCs/>
                                <w:sz w:val="28"/>
                                <w:szCs w:val="28"/>
                              </w:rPr>
                              <w:br/>
                            </w:r>
                          </w:p>
                          <w:p w:rsidR="00391A62" w:rsidRDefault="00ED2B3C">
                            <w:pPr>
                              <w:pStyle w:val="Paragraphedeliste"/>
                              <w:numPr>
                                <w:ilvl w:val="0"/>
                                <w:numId w:val="5"/>
                              </w:numPr>
                              <w:spacing w:after="0" w:line="240" w:lineRule="auto"/>
                              <w:ind w:left="426" w:hanging="426"/>
                              <w:jc w:val="both"/>
                              <w:rPr>
                                <w:sz w:val="28"/>
                                <w:szCs w:val="28"/>
                              </w:rPr>
                            </w:pPr>
                            <w:r>
                              <w:rPr>
                                <w:sz w:val="28"/>
                                <w:szCs w:val="28"/>
                              </w:rPr>
                              <w:t>Présentation</w:t>
                            </w:r>
                          </w:p>
                          <w:p w:rsidR="00391A62" w:rsidRDefault="00ED2B3C">
                            <w:pPr>
                              <w:pStyle w:val="Paragraphedeliste"/>
                              <w:numPr>
                                <w:ilvl w:val="0"/>
                                <w:numId w:val="5"/>
                              </w:numPr>
                              <w:spacing w:after="0" w:line="240" w:lineRule="auto"/>
                              <w:ind w:left="426" w:hanging="426"/>
                              <w:jc w:val="both"/>
                              <w:rPr>
                                <w:sz w:val="28"/>
                                <w:szCs w:val="28"/>
                              </w:rPr>
                            </w:pPr>
                            <w:r>
                              <w:rPr>
                                <w:sz w:val="28"/>
                                <w:szCs w:val="28"/>
                              </w:rPr>
                              <w:t>Éléments de langage</w:t>
                            </w:r>
                          </w:p>
                          <w:p w:rsidR="00391A62" w:rsidRDefault="00ED2B3C">
                            <w:pPr>
                              <w:pStyle w:val="Paragraphedeliste"/>
                              <w:numPr>
                                <w:ilvl w:val="0"/>
                                <w:numId w:val="5"/>
                              </w:numPr>
                              <w:spacing w:after="0" w:line="240" w:lineRule="auto"/>
                              <w:ind w:left="426" w:hanging="426"/>
                              <w:jc w:val="both"/>
                              <w:rPr>
                                <w:sz w:val="28"/>
                                <w:szCs w:val="28"/>
                              </w:rPr>
                            </w:pPr>
                            <w:r>
                              <w:rPr>
                                <w:sz w:val="28"/>
                                <w:szCs w:val="28"/>
                              </w:rPr>
                              <w:t>Préconisations réglementaires</w:t>
                            </w:r>
                          </w:p>
                          <w:p w:rsidR="00391A62" w:rsidRDefault="00ED2B3C">
                            <w:pPr>
                              <w:pStyle w:val="Paragraphedeliste"/>
                              <w:numPr>
                                <w:ilvl w:val="0"/>
                                <w:numId w:val="5"/>
                              </w:numPr>
                              <w:spacing w:after="0" w:line="240" w:lineRule="auto"/>
                              <w:ind w:left="426" w:hanging="426"/>
                              <w:jc w:val="both"/>
                              <w:rPr>
                                <w:sz w:val="28"/>
                                <w:szCs w:val="28"/>
                              </w:rPr>
                            </w:pPr>
                            <w:r>
                              <w:rPr>
                                <w:sz w:val="28"/>
                                <w:szCs w:val="28"/>
                              </w:rPr>
                              <w:t>Consignes pour bilan</w:t>
                            </w:r>
                          </w:p>
                          <w:p w:rsidR="00391A62" w:rsidRDefault="00ED2B3C">
                            <w:pPr>
                              <w:pStyle w:val="Paragraphedeliste"/>
                              <w:numPr>
                                <w:ilvl w:val="0"/>
                                <w:numId w:val="5"/>
                              </w:numPr>
                              <w:spacing w:after="0" w:line="240" w:lineRule="auto"/>
                              <w:ind w:left="426" w:hanging="426"/>
                              <w:rPr>
                                <w:sz w:val="28"/>
                                <w:szCs w:val="28"/>
                              </w:rPr>
                            </w:pPr>
                            <w:r>
                              <w:rPr>
                                <w:sz w:val="28"/>
                                <w:szCs w:val="28"/>
                              </w:rPr>
                              <w:t>Tableau de synthèse des activités</w:t>
                            </w:r>
                          </w:p>
                          <w:p w:rsidR="00391A62" w:rsidRDefault="00ED2B3C">
                            <w:pPr>
                              <w:pStyle w:val="Paragraphedeliste"/>
                              <w:numPr>
                                <w:ilvl w:val="0"/>
                                <w:numId w:val="5"/>
                              </w:numPr>
                              <w:spacing w:after="0" w:line="240" w:lineRule="auto"/>
                              <w:ind w:left="426" w:hanging="426"/>
                              <w:jc w:val="both"/>
                              <w:rPr>
                                <w:sz w:val="28"/>
                                <w:szCs w:val="28"/>
                              </w:rPr>
                            </w:pPr>
                            <w:r>
                              <w:rPr>
                                <w:sz w:val="28"/>
                                <w:szCs w:val="28"/>
                              </w:rPr>
                              <w:t>Questionnaire qualitatif</w:t>
                            </w:r>
                          </w:p>
                          <w:p w:rsidR="00391A62" w:rsidRDefault="00ED2B3C">
                            <w:pPr>
                              <w:pStyle w:val="Paragraphedeliste"/>
                              <w:numPr>
                                <w:ilvl w:val="0"/>
                                <w:numId w:val="5"/>
                              </w:numPr>
                              <w:spacing w:after="0" w:line="240" w:lineRule="auto"/>
                              <w:ind w:left="426" w:hanging="426"/>
                              <w:jc w:val="both"/>
                              <w:rPr>
                                <w:sz w:val="28"/>
                                <w:szCs w:val="28"/>
                              </w:rPr>
                            </w:pPr>
                            <w:r>
                              <w:rPr>
                                <w:sz w:val="28"/>
                                <w:szCs w:val="28"/>
                              </w:rPr>
                              <w:t>Diplômes de participation</w:t>
                            </w:r>
                          </w:p>
                          <w:p w:rsidR="00391A62" w:rsidRDefault="00ED2B3C">
                            <w:pPr>
                              <w:pStyle w:val="Paragraphedeliste"/>
                              <w:numPr>
                                <w:ilvl w:val="0"/>
                                <w:numId w:val="5"/>
                              </w:numPr>
                              <w:spacing w:after="0" w:line="240" w:lineRule="auto"/>
                              <w:ind w:left="426" w:hanging="426"/>
                              <w:jc w:val="both"/>
                              <w:rPr>
                                <w:sz w:val="28"/>
                                <w:szCs w:val="28"/>
                              </w:rPr>
                            </w:pPr>
                            <w:r>
                              <w:rPr>
                                <w:sz w:val="28"/>
                                <w:szCs w:val="28"/>
                              </w:rPr>
                              <w:t>Modèle de convention type</w:t>
                            </w:r>
                          </w:p>
                          <w:p w:rsidR="00391A62" w:rsidRDefault="00ED2B3C">
                            <w:pPr>
                              <w:pStyle w:val="Paragraphedeliste"/>
                              <w:numPr>
                                <w:ilvl w:val="0"/>
                                <w:numId w:val="5"/>
                              </w:numPr>
                              <w:spacing w:after="0" w:line="240" w:lineRule="auto"/>
                              <w:ind w:left="426" w:hanging="426"/>
                              <w:jc w:val="both"/>
                              <w:rPr>
                                <w:sz w:val="28"/>
                                <w:szCs w:val="28"/>
                              </w:rPr>
                            </w:pPr>
                            <w:r>
                              <w:rPr>
                                <w:sz w:val="28"/>
                                <w:szCs w:val="28"/>
                              </w:rPr>
                              <w:t>Formulaires de droit à l’image</w:t>
                            </w:r>
                          </w:p>
                          <w:p w:rsidR="00391A62" w:rsidRDefault="00391A62">
                            <w:pPr>
                              <w:spacing w:after="0" w:line="240" w:lineRule="auto"/>
                              <w:jc w:val="both"/>
                              <w:rPr>
                                <w:sz w:val="28"/>
                                <w:szCs w:val="28"/>
                              </w:rPr>
                            </w:pPr>
                          </w:p>
                          <w:p w:rsidR="00391A62" w:rsidRDefault="00391A62">
                            <w:pPr>
                              <w:spacing w:after="0" w:line="240" w:lineRule="auto"/>
                              <w:jc w:val="both"/>
                              <w:rPr>
                                <w:sz w:val="28"/>
                                <w:szCs w:val="28"/>
                              </w:rPr>
                            </w:pPr>
                          </w:p>
                          <w:p w:rsidR="00391A62" w:rsidRPr="008E6F27" w:rsidRDefault="00ED2B3C" w:rsidP="008E6F27">
                            <w:pPr>
                              <w:rPr>
                                <w:rFonts w:ascii="Arial" w:hAnsi="Arial" w:cs="Arial"/>
                                <w:b/>
                                <w:bCs/>
                                <w:color w:val="1F497D"/>
                                <w:sz w:val="16"/>
                                <w:szCs w:val="16"/>
                                <w:lang w:eastAsia="fr-FR"/>
                              </w:rPr>
                            </w:pPr>
                            <w:r>
                              <w:rPr>
                                <w:sz w:val="28"/>
                                <w:szCs w:val="28"/>
                              </w:rPr>
                              <w:t xml:space="preserve">Vous pouvez consulter le site de la CAJ : </w:t>
                            </w:r>
                            <w:hyperlink r:id="rId13" w:history="1">
                              <w:r w:rsidR="008E6F27" w:rsidRPr="008E6F27">
                                <w:rPr>
                                  <w:rStyle w:val="Lienhypertexte"/>
                                  <w:b/>
                                  <w:bCs/>
                                  <w:color w:val="FFFFFF" w:themeColor="background1"/>
                                  <w:sz w:val="28"/>
                                  <w:szCs w:val="28"/>
                                  <w:lang w:eastAsia="fr-FR"/>
                                </w:rPr>
                                <w:t>http://www.defense.gouv.fr/caj</w:t>
                              </w:r>
                            </w:hyperlink>
                          </w:p>
                          <w:p w:rsidR="00391A62" w:rsidRDefault="00391A62">
                            <w:pPr>
                              <w:spacing w:after="0" w:line="240" w:lineRule="auto"/>
                              <w:jc w:val="both"/>
                              <w:rPr>
                                <w:b/>
                                <w:bCs/>
                              </w:rPr>
                            </w:pPr>
                          </w:p>
                          <w:p w:rsidR="00391A62" w:rsidRDefault="00391A62">
                            <w:pPr>
                              <w:spacing w:after="0" w:line="240" w:lineRule="auto"/>
                              <w:jc w:val="both"/>
                              <w:rPr>
                                <w:b/>
                                <w:bCs/>
                              </w:rPr>
                            </w:pPr>
                          </w:p>
                          <w:p w:rsidR="00391A62" w:rsidRDefault="00391A62">
                            <w:pPr>
                              <w:spacing w:after="0" w:line="240" w:lineRule="auto"/>
                              <w:jc w:val="both"/>
                              <w:rPr>
                                <w:b/>
                                <w:bCs/>
                                <w:sz w:val="12"/>
                                <w:szCs w:val="12"/>
                              </w:rPr>
                            </w:pPr>
                          </w:p>
                          <w:p w:rsidR="00391A62" w:rsidRDefault="00ED2B3C">
                            <w:pPr>
                              <w:spacing w:after="0" w:line="240" w:lineRule="auto"/>
                              <w:jc w:val="center"/>
                            </w:pPr>
                            <w:r>
                              <w:rPr>
                                <w:noProof/>
                                <w:lang w:eastAsia="fr-FR"/>
                              </w:rPr>
                              <w:drawing>
                                <wp:inline distT="0" distB="0" distL="0" distR="0">
                                  <wp:extent cx="1666240" cy="1286047"/>
                                  <wp:effectExtent l="0" t="0" r="0" b="9525"/>
                                  <wp:docPr id="5" name="Image 8" descr="C:\Users\a.clement-bolle\Pictures\jsa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C:\Users\a.clement-bolle\Pictures\jsaj.png"/>
                                          <pic:cNvPicPr>
                                            <a:picLocks noChangeAspect="1"/>
                                          </pic:cNvPicPr>
                                        </pic:nvPicPr>
                                        <pic:blipFill>
                                          <a:blip r:embed="rId14"/>
                                          <a:stretch/>
                                        </pic:blipFill>
                                        <pic:spPr bwMode="auto">
                                          <a:xfrm>
                                            <a:off x="0" y="0"/>
                                            <a:ext cx="1677464" cy="12947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7" style="position:absolute;margin-left:-56.8pt;margin-top:77.85pt;width:220.65pt;height:69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" fillcolor="#002060" stroked="f" strokeweight="1pt">
                <v:textbox>
                  <w:txbxContent>
                    <w:p w:rsidR="00391A62" w:rsidRDefault="00391A62">
                      <w:pPr>
                        <w:spacing w:after="0" w:line="240" w:lineRule="auto"/>
                        <w:jc w:val="center"/>
                        <w:rPr>
                          <w:b/>
                          <w:bCs/>
                          <w:i/>
                          <w:iCs/>
                          <w:sz w:val="28"/>
                          <w:szCs w:val="28"/>
                        </w:rPr>
                      </w:pPr>
                    </w:p>
                    <w:p w:rsidR="00391A62" w:rsidRDefault="00391A62">
                      <w:pPr>
                        <w:spacing w:after="0" w:line="240" w:lineRule="auto"/>
                        <w:jc w:val="center"/>
                        <w:rPr>
                          <w:b/>
                          <w:bCs/>
                          <w:i/>
                          <w:iCs/>
                          <w:sz w:val="28"/>
                          <w:szCs w:val="28"/>
                        </w:rPr>
                      </w:pPr>
                    </w:p>
                    <w:p w:rsidR="00391A62" w:rsidRDefault="00ED2B3C">
                      <w:pPr>
                        <w:spacing w:after="0" w:line="240" w:lineRule="auto"/>
                        <w:jc w:val="center"/>
                        <w:rPr>
                          <w:b/>
                          <w:bCs/>
                          <w:i/>
                          <w:iCs/>
                          <w:sz w:val="28"/>
                          <w:szCs w:val="28"/>
                        </w:rPr>
                      </w:pPr>
                      <w:r>
                        <w:rPr>
                          <w:b/>
                          <w:bCs/>
                          <w:i/>
                          <w:iCs/>
                          <w:sz w:val="28"/>
                          <w:szCs w:val="28"/>
                        </w:rPr>
                        <w:t>LES JSAJ</w:t>
                      </w:r>
                    </w:p>
                    <w:p w:rsidR="00391A62" w:rsidRDefault="00391A62">
                      <w:pPr>
                        <w:spacing w:after="0" w:line="240" w:lineRule="auto"/>
                        <w:jc w:val="center"/>
                        <w:rPr>
                          <w:b/>
                          <w:bCs/>
                          <w:i/>
                          <w:iCs/>
                          <w:sz w:val="28"/>
                          <w:szCs w:val="28"/>
                        </w:rPr>
                      </w:pPr>
                    </w:p>
                    <w:p w:rsidR="00391A62" w:rsidRDefault="00391A62">
                      <w:pPr>
                        <w:spacing w:after="0" w:line="240" w:lineRule="auto"/>
                        <w:jc w:val="both"/>
                        <w:rPr>
                          <w:b/>
                          <w:bCs/>
                          <w:sz w:val="28"/>
                          <w:szCs w:val="28"/>
                        </w:rPr>
                      </w:pPr>
                    </w:p>
                    <w:p w:rsidR="00391A62" w:rsidRDefault="00ED2B3C">
                      <w:pPr>
                        <w:spacing w:after="0" w:line="240" w:lineRule="auto"/>
                        <w:jc w:val="both"/>
                        <w:rPr>
                          <w:b/>
                          <w:bCs/>
                          <w:sz w:val="28"/>
                          <w:szCs w:val="28"/>
                        </w:rPr>
                      </w:pPr>
                      <w:r>
                        <w:rPr>
                          <w:b/>
                          <w:bCs/>
                          <w:sz w:val="28"/>
                          <w:szCs w:val="28"/>
                        </w:rPr>
                        <w:t>C’est un rendez-vous annuel entre l’armée et la jeunesse, une rencontre pour échanger et faire mutuellement connaissance. Le sport est un vecteur commun à l’armée et à la jeunesse qui trouve naturellement sa place dans cette manifestation de grande ampleur.</w:t>
                      </w:r>
                    </w:p>
                    <w:p w:rsidR="00391A62" w:rsidRDefault="00391A62">
                      <w:pPr>
                        <w:spacing w:after="0" w:line="240" w:lineRule="auto"/>
                        <w:jc w:val="both"/>
                        <w:rPr>
                          <w:b/>
                          <w:bCs/>
                          <w:sz w:val="28"/>
                          <w:szCs w:val="28"/>
                        </w:rPr>
                      </w:pPr>
                    </w:p>
                    <w:p w:rsidR="00391A62" w:rsidRDefault="00ED2B3C">
                      <w:pPr>
                        <w:spacing w:after="0" w:line="240" w:lineRule="auto"/>
                        <w:jc w:val="both"/>
                        <w:rPr>
                          <w:b/>
                          <w:bCs/>
                          <w:sz w:val="28"/>
                          <w:szCs w:val="28"/>
                        </w:rPr>
                      </w:pPr>
                      <w:r>
                        <w:rPr>
                          <w:b/>
                          <w:bCs/>
                          <w:sz w:val="28"/>
                          <w:szCs w:val="28"/>
                        </w:rPr>
                        <w:br/>
                      </w:r>
                    </w:p>
                    <w:p w:rsidR="00391A62" w:rsidRDefault="00ED2B3C">
                      <w:pPr>
                        <w:pStyle w:val="Paragraphedeliste"/>
                        <w:numPr>
                          <w:ilvl w:val="0"/>
                          <w:numId w:val="5"/>
                        </w:numPr>
                        <w:spacing w:after="0" w:line="240" w:lineRule="auto"/>
                        <w:ind w:left="426" w:hanging="426"/>
                        <w:jc w:val="both"/>
                        <w:rPr>
                          <w:sz w:val="28"/>
                          <w:szCs w:val="28"/>
                        </w:rPr>
                      </w:pPr>
                      <w:r>
                        <w:rPr>
                          <w:sz w:val="28"/>
                          <w:szCs w:val="28"/>
                        </w:rPr>
                        <w:t>Présentation</w:t>
                      </w:r>
                    </w:p>
                    <w:p w:rsidR="00391A62" w:rsidRDefault="00ED2B3C">
                      <w:pPr>
                        <w:pStyle w:val="Paragraphedeliste"/>
                        <w:numPr>
                          <w:ilvl w:val="0"/>
                          <w:numId w:val="5"/>
                        </w:numPr>
                        <w:spacing w:after="0" w:line="240" w:lineRule="auto"/>
                        <w:ind w:left="426" w:hanging="426"/>
                        <w:jc w:val="both"/>
                        <w:rPr>
                          <w:sz w:val="28"/>
                          <w:szCs w:val="28"/>
                        </w:rPr>
                      </w:pPr>
                      <w:r>
                        <w:rPr>
                          <w:sz w:val="28"/>
                          <w:szCs w:val="28"/>
                        </w:rPr>
                        <w:t>Éléments de langage</w:t>
                      </w:r>
                    </w:p>
                    <w:p w:rsidR="00391A62" w:rsidRDefault="00ED2B3C">
                      <w:pPr>
                        <w:pStyle w:val="Paragraphedeliste"/>
                        <w:numPr>
                          <w:ilvl w:val="0"/>
                          <w:numId w:val="5"/>
                        </w:numPr>
                        <w:spacing w:after="0" w:line="240" w:lineRule="auto"/>
                        <w:ind w:left="426" w:hanging="426"/>
                        <w:jc w:val="both"/>
                        <w:rPr>
                          <w:sz w:val="28"/>
                          <w:szCs w:val="28"/>
                        </w:rPr>
                      </w:pPr>
                      <w:r>
                        <w:rPr>
                          <w:sz w:val="28"/>
                          <w:szCs w:val="28"/>
                        </w:rPr>
                        <w:t>Préconisations réglementaires</w:t>
                      </w:r>
                    </w:p>
                    <w:p w:rsidR="00391A62" w:rsidRDefault="00ED2B3C">
                      <w:pPr>
                        <w:pStyle w:val="Paragraphedeliste"/>
                        <w:numPr>
                          <w:ilvl w:val="0"/>
                          <w:numId w:val="5"/>
                        </w:numPr>
                        <w:spacing w:after="0" w:line="240" w:lineRule="auto"/>
                        <w:ind w:left="426" w:hanging="426"/>
                        <w:jc w:val="both"/>
                        <w:rPr>
                          <w:sz w:val="28"/>
                          <w:szCs w:val="28"/>
                        </w:rPr>
                      </w:pPr>
                      <w:r>
                        <w:rPr>
                          <w:sz w:val="28"/>
                          <w:szCs w:val="28"/>
                        </w:rPr>
                        <w:t>Consignes pour bilan</w:t>
                      </w:r>
                    </w:p>
                    <w:p w:rsidR="00391A62" w:rsidRDefault="00ED2B3C">
                      <w:pPr>
                        <w:pStyle w:val="Paragraphedeliste"/>
                        <w:numPr>
                          <w:ilvl w:val="0"/>
                          <w:numId w:val="5"/>
                        </w:numPr>
                        <w:spacing w:after="0" w:line="240" w:lineRule="auto"/>
                        <w:ind w:left="426" w:hanging="426"/>
                        <w:rPr>
                          <w:sz w:val="28"/>
                          <w:szCs w:val="28"/>
                        </w:rPr>
                      </w:pPr>
                      <w:r>
                        <w:rPr>
                          <w:sz w:val="28"/>
                          <w:szCs w:val="28"/>
                        </w:rPr>
                        <w:t>Tableau de synthèse des activités</w:t>
                      </w:r>
                    </w:p>
                    <w:p w:rsidR="00391A62" w:rsidRDefault="00ED2B3C">
                      <w:pPr>
                        <w:pStyle w:val="Paragraphedeliste"/>
                        <w:numPr>
                          <w:ilvl w:val="0"/>
                          <w:numId w:val="5"/>
                        </w:numPr>
                        <w:spacing w:after="0" w:line="240" w:lineRule="auto"/>
                        <w:ind w:left="426" w:hanging="426"/>
                        <w:jc w:val="both"/>
                        <w:rPr>
                          <w:sz w:val="28"/>
                          <w:szCs w:val="28"/>
                        </w:rPr>
                      </w:pPr>
                      <w:r>
                        <w:rPr>
                          <w:sz w:val="28"/>
                          <w:szCs w:val="28"/>
                        </w:rPr>
                        <w:t>Questionnaire qualitatif</w:t>
                      </w:r>
                    </w:p>
                    <w:p w:rsidR="00391A62" w:rsidRDefault="00ED2B3C">
                      <w:pPr>
                        <w:pStyle w:val="Paragraphedeliste"/>
                        <w:numPr>
                          <w:ilvl w:val="0"/>
                          <w:numId w:val="5"/>
                        </w:numPr>
                        <w:spacing w:after="0" w:line="240" w:lineRule="auto"/>
                        <w:ind w:left="426" w:hanging="426"/>
                        <w:jc w:val="both"/>
                        <w:rPr>
                          <w:sz w:val="28"/>
                          <w:szCs w:val="28"/>
                        </w:rPr>
                      </w:pPr>
                      <w:r>
                        <w:rPr>
                          <w:sz w:val="28"/>
                          <w:szCs w:val="28"/>
                        </w:rPr>
                        <w:t>Diplômes de participation</w:t>
                      </w:r>
                    </w:p>
                    <w:p w:rsidR="00391A62" w:rsidRDefault="00ED2B3C">
                      <w:pPr>
                        <w:pStyle w:val="Paragraphedeliste"/>
                        <w:numPr>
                          <w:ilvl w:val="0"/>
                          <w:numId w:val="5"/>
                        </w:numPr>
                        <w:spacing w:after="0" w:line="240" w:lineRule="auto"/>
                        <w:ind w:left="426" w:hanging="426"/>
                        <w:jc w:val="both"/>
                        <w:rPr>
                          <w:sz w:val="28"/>
                          <w:szCs w:val="28"/>
                        </w:rPr>
                      </w:pPr>
                      <w:r>
                        <w:rPr>
                          <w:sz w:val="28"/>
                          <w:szCs w:val="28"/>
                        </w:rPr>
                        <w:t>Modèle de convention type</w:t>
                      </w:r>
                    </w:p>
                    <w:p w:rsidR="00391A62" w:rsidRDefault="00ED2B3C">
                      <w:pPr>
                        <w:pStyle w:val="Paragraphedeliste"/>
                        <w:numPr>
                          <w:ilvl w:val="0"/>
                          <w:numId w:val="5"/>
                        </w:numPr>
                        <w:spacing w:after="0" w:line="240" w:lineRule="auto"/>
                        <w:ind w:left="426" w:hanging="426"/>
                        <w:jc w:val="both"/>
                        <w:rPr>
                          <w:sz w:val="28"/>
                          <w:szCs w:val="28"/>
                        </w:rPr>
                      </w:pPr>
                      <w:r>
                        <w:rPr>
                          <w:sz w:val="28"/>
                          <w:szCs w:val="28"/>
                        </w:rPr>
                        <w:t>Formulaires de droit à l’image</w:t>
                      </w:r>
                    </w:p>
                    <w:p w:rsidR="00391A62" w:rsidRDefault="00391A62">
                      <w:pPr>
                        <w:spacing w:after="0" w:line="240" w:lineRule="auto"/>
                        <w:jc w:val="both"/>
                        <w:rPr>
                          <w:sz w:val="28"/>
                          <w:szCs w:val="28"/>
                        </w:rPr>
                      </w:pPr>
                    </w:p>
                    <w:p w:rsidR="00391A62" w:rsidRDefault="00391A62">
                      <w:pPr>
                        <w:spacing w:after="0" w:line="240" w:lineRule="auto"/>
                        <w:jc w:val="both"/>
                        <w:rPr>
                          <w:sz w:val="28"/>
                          <w:szCs w:val="28"/>
                        </w:rPr>
                      </w:pPr>
                    </w:p>
                    <w:p w:rsidR="00391A62" w:rsidRPr="008E6F27" w:rsidRDefault="00ED2B3C" w:rsidP="008E6F27">
                      <w:pPr>
                        <w:rPr>
                          <w:rFonts w:ascii="Arial" w:hAnsi="Arial" w:cs="Arial"/>
                          <w:b/>
                          <w:bCs/>
                          <w:color w:val="1F497D"/>
                          <w:sz w:val="16"/>
                          <w:szCs w:val="16"/>
                          <w:lang w:eastAsia="fr-FR"/>
                        </w:rPr>
                      </w:pPr>
                      <w:r>
                        <w:rPr>
                          <w:sz w:val="28"/>
                          <w:szCs w:val="28"/>
                        </w:rPr>
                        <w:t xml:space="preserve">Vous pouvez consulter le site de la CAJ : </w:t>
                      </w:r>
                      <w:hyperlink r:id="rId15" w:history="1">
                        <w:r w:rsidR="008E6F27" w:rsidRPr="008E6F27">
                          <w:rPr>
                            <w:rStyle w:val="Lienhypertexte"/>
                            <w:b/>
                            <w:bCs/>
                            <w:color w:val="FFFFFF" w:themeColor="background1"/>
                            <w:sz w:val="28"/>
                            <w:szCs w:val="28"/>
                            <w:lang w:eastAsia="fr-FR"/>
                          </w:rPr>
                          <w:t>http://www.defense.gouv.fr/caj</w:t>
                        </w:r>
                      </w:hyperlink>
                    </w:p>
                    <w:p w:rsidR="00391A62" w:rsidRDefault="00391A62">
                      <w:pPr>
                        <w:spacing w:after="0" w:line="240" w:lineRule="auto"/>
                        <w:jc w:val="both"/>
                        <w:rPr>
                          <w:b/>
                          <w:bCs/>
                        </w:rPr>
                      </w:pPr>
                    </w:p>
                    <w:p w:rsidR="00391A62" w:rsidRDefault="00391A62">
                      <w:pPr>
                        <w:spacing w:after="0" w:line="240" w:lineRule="auto"/>
                        <w:jc w:val="both"/>
                        <w:rPr>
                          <w:b/>
                          <w:bCs/>
                        </w:rPr>
                      </w:pPr>
                    </w:p>
                    <w:p w:rsidR="00391A62" w:rsidRDefault="00391A62">
                      <w:pPr>
                        <w:spacing w:after="0" w:line="240" w:lineRule="auto"/>
                        <w:jc w:val="both"/>
                        <w:rPr>
                          <w:b/>
                          <w:bCs/>
                          <w:sz w:val="12"/>
                          <w:szCs w:val="12"/>
                        </w:rPr>
                      </w:pPr>
                    </w:p>
                    <w:p w:rsidR="00391A62" w:rsidRDefault="00ED2B3C">
                      <w:pPr>
                        <w:spacing w:after="0" w:line="240" w:lineRule="auto"/>
                        <w:jc w:val="center"/>
                      </w:pPr>
                      <w:r>
                        <w:rPr>
                          <w:noProof/>
                          <w:lang w:eastAsia="fr-FR"/>
                        </w:rPr>
                        <w:drawing>
                          <wp:inline distT="0" distB="0" distL="0" distR="0">
                            <wp:extent cx="1666240" cy="1286047"/>
                            <wp:effectExtent l="0" t="0" r="0" b="9525"/>
                            <wp:docPr id="5" name="Image 8" descr="C:\Users\a.clement-bolle\Pictures\jsa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C:\Users\a.clement-bolle\Pictures\jsaj.png"/>
                                    <pic:cNvPicPr>
                                      <a:picLocks noChangeAspect="1"/>
                                    </pic:cNvPicPr>
                                  </pic:nvPicPr>
                                  <pic:blipFill>
                                    <a:blip r:embed="rId14"/>
                                    <a:stretch/>
                                  </pic:blipFill>
                                  <pic:spPr bwMode="auto">
                                    <a:xfrm>
                                      <a:off x="0" y="0"/>
                                      <a:ext cx="1677464" cy="1294710"/>
                                    </a:xfrm>
                                    <a:prstGeom prst="rect">
                                      <a:avLst/>
                                    </a:prstGeom>
                                    <a:noFill/>
                                    <a:ln>
                                      <a:noFill/>
                                    </a:ln>
                                  </pic:spPr>
                                </pic:pic>
                              </a:graphicData>
                            </a:graphic>
                          </wp:inline>
                        </w:drawing>
                      </w:r>
                    </w:p>
                  </w:txbxContent>
                </v:textbox>
              </v:rect>
            </w:pict>
          </mc:Fallback>
        </mc:AlternateContent>
      </w:r>
      <w:r>
        <w:rPr>
          <w:noProof/>
          <w:lang w:eastAsia="fr-FR"/>
        </w:rPr>
        <mc:AlternateContent>
          <mc:Choice Requires="wpg">
            <w:drawing>
              <wp:anchor distT="0" distB="0" distL="114300" distR="114300" simplePos="0" relativeHeight="251657214" behindDoc="0" locked="0" layoutInCell="1" allowOverlap="1">
                <wp:simplePos x="0" y="0"/>
                <wp:positionH relativeFrom="column">
                  <wp:posOffset>-971047</wp:posOffset>
                </wp:positionH>
                <wp:positionV relativeFrom="paragraph">
                  <wp:posOffset>-436658</wp:posOffset>
                </wp:positionV>
                <wp:extent cx="7778123" cy="1425039"/>
                <wp:effectExtent l="0" t="0" r="13335" b="22860"/>
                <wp:wrapNone/>
                <wp:docPr id="6" name="Rectangle 1"/>
                <wp:cNvGraphicFramePr/>
                <a:graphic xmlns:a="http://schemas.openxmlformats.org/drawingml/2006/main">
                  <a:graphicData uri="http://schemas.microsoft.com/office/word/2010/wordprocessingShape">
                    <wps:wsp>
                      <wps:cNvSpPr/>
                      <wps:spPr bwMode="auto">
                        <a:xfrm>
                          <a:off x="0" y="0"/>
                          <a:ext cx="7778123" cy="1425039"/>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rsidR="00391A62" w:rsidRDefault="00ED2B3C">
                            <w:pPr>
                              <w:spacing w:after="120"/>
                              <w:ind w:left="425"/>
                              <w:rPr>
                                <w:sz w:val="50"/>
                                <w:szCs w:val="50"/>
                              </w:rPr>
                            </w:pPr>
                            <w:r>
                              <w:rPr>
                                <w:sz w:val="50"/>
                                <w:szCs w:val="50"/>
                              </w:rPr>
                              <w:t>Mémento d’organisation</w:t>
                            </w:r>
                          </w:p>
                          <w:p w:rsidR="00391A62" w:rsidRDefault="00ED2B3C">
                            <w:pPr>
                              <w:spacing w:after="120"/>
                              <w:ind w:left="425"/>
                              <w:rPr>
                                <w:sz w:val="50"/>
                                <w:szCs w:val="50"/>
                              </w:rPr>
                            </w:pPr>
                            <w:r>
                              <w:rPr>
                                <w:sz w:val="50"/>
                                <w:szCs w:val="50"/>
                              </w:rPr>
                              <w:t xml:space="preserve">Journées Sports Armées-Jeunesse </w:t>
                            </w:r>
                          </w:p>
                          <w:p w:rsidR="00391A62" w:rsidRDefault="00ED2B3C">
                            <w:pPr>
                              <w:spacing w:after="120"/>
                              <w:ind w:left="425"/>
                              <w:rPr>
                                <w:sz w:val="50"/>
                                <w:szCs w:val="50"/>
                              </w:rPr>
                            </w:pPr>
                            <w:r>
                              <w:rPr>
                                <w:sz w:val="50"/>
                                <w:szCs w:val="50"/>
                              </w:rPr>
                              <w:t>2021/2022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5" o:spid="_x0000_s5" o:spt="1" style="position:absolute;mso-wrap-distance-left:9.0pt;mso-wrap-distance-top:0.0pt;mso-wrap-distance-right:9.0pt;mso-wrap-distance-bottom:0.0pt;z-index:251657214;o:allowoverlap:true;o:allowincell:true;mso-position-horizontal-relative:text;margin-left:-76.5pt;mso-position-horizontal:absolute;mso-position-vertical-relative:text;margin-top:-34.4pt;mso-position-vertical:absolute;width:612.5pt;height:112.2pt;v-text-anchor:middle;" coordsize="100000,100000" path="" fillcolor="#002060" strokecolor="#2D4D6A" strokeweight="1.00pt">
                <v:path textboxrect="0,0,0,0"/>
                <v:textbox>
                  <w:txbxContent>
                    <w:p>
                      <w:pPr>
                        <w:ind w:left="425"/>
                        <w:spacing w:after="120"/>
                        <w:rPr>
                          <w:sz w:val="50"/>
                          <w:szCs w:val="50"/>
                        </w:rPr>
                      </w:pPr>
                      <w:r>
                        <w:rPr>
                          <w:sz w:val="50"/>
                          <w:szCs w:val="50"/>
                        </w:rPr>
                        <w:t xml:space="preserve">Mémento d’organisation</w:t>
                      </w:r>
                      <w:r/>
                    </w:p>
                    <w:p>
                      <w:pPr>
                        <w:ind w:left="425"/>
                        <w:spacing w:after="120"/>
                        <w:rPr>
                          <w:sz w:val="50"/>
                          <w:szCs w:val="50"/>
                        </w:rPr>
                      </w:pPr>
                      <w:r>
                        <w:rPr>
                          <w:sz w:val="50"/>
                          <w:szCs w:val="50"/>
                        </w:rPr>
                        <w:t xml:space="preserve">Journées Sports Armées-J</w:t>
                      </w:r>
                      <w:r>
                        <w:rPr>
                          <w:sz w:val="50"/>
                          <w:szCs w:val="50"/>
                        </w:rPr>
                        <w:t xml:space="preserve">eunesse </w:t>
                      </w:r>
                      <w:r/>
                    </w:p>
                    <w:p>
                      <w:pPr>
                        <w:ind w:left="425"/>
                        <w:spacing w:after="120"/>
                        <w:rPr>
                          <w:sz w:val="50"/>
                          <w:szCs w:val="50"/>
                        </w:rPr>
                      </w:pPr>
                      <w:r>
                        <w:rPr>
                          <w:sz w:val="50"/>
                          <w:szCs w:val="50"/>
                        </w:rPr>
                        <w:t xml:space="preserve">2021/2022</w:t>
                      </w:r>
                      <w:r/>
                    </w:p>
                  </w:txbxContent>
                </v:textbox>
              </v:shape>
            </w:pict>
          </mc:Fallback>
        </mc:AlternateContent>
      </w:r>
    </w:p>
    <w:sectPr w:rsidR="00391A6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7091" w:rsidRDefault="00BE7091">
      <w:pPr>
        <w:spacing w:after="0" w:line="240" w:lineRule="auto"/>
      </w:pPr>
      <w:r>
        <w:separator/>
      </w:r>
    </w:p>
  </w:endnote>
  <w:endnote w:type="continuationSeparator" w:id="0">
    <w:p w:rsidR="00BE7091" w:rsidRDefault="00BE70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7091" w:rsidRDefault="00BE7091">
      <w:pPr>
        <w:spacing w:after="0" w:line="240" w:lineRule="auto"/>
      </w:pPr>
      <w:r>
        <w:separator/>
      </w:r>
    </w:p>
  </w:footnote>
  <w:footnote w:type="continuationSeparator" w:id="0">
    <w:p w:rsidR="00BE7091" w:rsidRDefault="00BE70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7649C"/>
    <w:multiLevelType w:val="hybridMultilevel"/>
    <w:tmpl w:val="04160272"/>
    <w:lvl w:ilvl="0" w:tplc="07AEF244">
      <w:start w:val="1"/>
      <w:numFmt w:val="bullet"/>
      <w:lvlText w:val=""/>
      <w:lvlJc w:val="left"/>
      <w:pPr>
        <w:ind w:left="720" w:hanging="360"/>
      </w:pPr>
      <w:rPr>
        <w:rFonts w:ascii="Symbol" w:hAnsi="Symbol" w:hint="default"/>
      </w:rPr>
    </w:lvl>
    <w:lvl w:ilvl="1" w:tplc="D18A1FF6">
      <w:start w:val="1"/>
      <w:numFmt w:val="bullet"/>
      <w:lvlText w:val="o"/>
      <w:lvlJc w:val="left"/>
      <w:pPr>
        <w:ind w:left="1440" w:hanging="360"/>
      </w:pPr>
      <w:rPr>
        <w:rFonts w:ascii="Courier New" w:hAnsi="Courier New" w:cs="Courier New" w:hint="default"/>
      </w:rPr>
    </w:lvl>
    <w:lvl w:ilvl="2" w:tplc="8A0C5250">
      <w:start w:val="1"/>
      <w:numFmt w:val="bullet"/>
      <w:lvlText w:val=""/>
      <w:lvlJc w:val="left"/>
      <w:pPr>
        <w:ind w:left="2160" w:hanging="360"/>
      </w:pPr>
      <w:rPr>
        <w:rFonts w:ascii="Wingdings" w:hAnsi="Wingdings" w:hint="default"/>
      </w:rPr>
    </w:lvl>
    <w:lvl w:ilvl="3" w:tplc="5818E966">
      <w:start w:val="1"/>
      <w:numFmt w:val="bullet"/>
      <w:lvlText w:val=""/>
      <w:lvlJc w:val="left"/>
      <w:pPr>
        <w:ind w:left="2880" w:hanging="360"/>
      </w:pPr>
      <w:rPr>
        <w:rFonts w:ascii="Symbol" w:hAnsi="Symbol" w:hint="default"/>
      </w:rPr>
    </w:lvl>
    <w:lvl w:ilvl="4" w:tplc="8BC0F000">
      <w:start w:val="1"/>
      <w:numFmt w:val="bullet"/>
      <w:lvlText w:val="o"/>
      <w:lvlJc w:val="left"/>
      <w:pPr>
        <w:ind w:left="3600" w:hanging="360"/>
      </w:pPr>
      <w:rPr>
        <w:rFonts w:ascii="Courier New" w:hAnsi="Courier New" w:cs="Courier New" w:hint="default"/>
      </w:rPr>
    </w:lvl>
    <w:lvl w:ilvl="5" w:tplc="D1E6DEC8">
      <w:start w:val="1"/>
      <w:numFmt w:val="bullet"/>
      <w:lvlText w:val=""/>
      <w:lvlJc w:val="left"/>
      <w:pPr>
        <w:ind w:left="4320" w:hanging="360"/>
      </w:pPr>
      <w:rPr>
        <w:rFonts w:ascii="Wingdings" w:hAnsi="Wingdings" w:hint="default"/>
      </w:rPr>
    </w:lvl>
    <w:lvl w:ilvl="6" w:tplc="41E2FC4A">
      <w:start w:val="1"/>
      <w:numFmt w:val="bullet"/>
      <w:lvlText w:val=""/>
      <w:lvlJc w:val="left"/>
      <w:pPr>
        <w:ind w:left="5040" w:hanging="360"/>
      </w:pPr>
      <w:rPr>
        <w:rFonts w:ascii="Symbol" w:hAnsi="Symbol" w:hint="default"/>
      </w:rPr>
    </w:lvl>
    <w:lvl w:ilvl="7" w:tplc="404C1314">
      <w:start w:val="1"/>
      <w:numFmt w:val="bullet"/>
      <w:lvlText w:val="o"/>
      <w:lvlJc w:val="left"/>
      <w:pPr>
        <w:ind w:left="5760" w:hanging="360"/>
      </w:pPr>
      <w:rPr>
        <w:rFonts w:ascii="Courier New" w:hAnsi="Courier New" w:cs="Courier New" w:hint="default"/>
      </w:rPr>
    </w:lvl>
    <w:lvl w:ilvl="8" w:tplc="39F838BC">
      <w:start w:val="1"/>
      <w:numFmt w:val="bullet"/>
      <w:lvlText w:val=""/>
      <w:lvlJc w:val="left"/>
      <w:pPr>
        <w:ind w:left="6480" w:hanging="360"/>
      </w:pPr>
      <w:rPr>
        <w:rFonts w:ascii="Wingdings" w:hAnsi="Wingdings" w:hint="default"/>
      </w:rPr>
    </w:lvl>
  </w:abstractNum>
  <w:abstractNum w:abstractNumId="1" w15:restartNumberingAfterBreak="0">
    <w:nsid w:val="090239C9"/>
    <w:multiLevelType w:val="hybridMultilevel"/>
    <w:tmpl w:val="20827BF0"/>
    <w:lvl w:ilvl="0" w:tplc="251A97C6">
      <w:start w:val="1"/>
      <w:numFmt w:val="decimal"/>
      <w:lvlText w:val="%1."/>
      <w:lvlJc w:val="left"/>
      <w:pPr>
        <w:ind w:left="786" w:hanging="360"/>
      </w:pPr>
    </w:lvl>
    <w:lvl w:ilvl="1" w:tplc="2CF4DCCE">
      <w:start w:val="1"/>
      <w:numFmt w:val="lowerLetter"/>
      <w:lvlText w:val="%2."/>
      <w:lvlJc w:val="left"/>
      <w:pPr>
        <w:ind w:left="1506" w:hanging="360"/>
      </w:pPr>
    </w:lvl>
    <w:lvl w:ilvl="2" w:tplc="774650C2">
      <w:start w:val="1"/>
      <w:numFmt w:val="lowerRoman"/>
      <w:lvlText w:val="%3."/>
      <w:lvlJc w:val="right"/>
      <w:pPr>
        <w:ind w:left="2226" w:hanging="180"/>
      </w:pPr>
    </w:lvl>
    <w:lvl w:ilvl="3" w:tplc="88B02B6A">
      <w:start w:val="1"/>
      <w:numFmt w:val="decimal"/>
      <w:lvlText w:val="%4."/>
      <w:lvlJc w:val="left"/>
      <w:pPr>
        <w:ind w:left="2946" w:hanging="360"/>
      </w:pPr>
    </w:lvl>
    <w:lvl w:ilvl="4" w:tplc="E0DE68F8">
      <w:start w:val="1"/>
      <w:numFmt w:val="lowerLetter"/>
      <w:lvlText w:val="%5."/>
      <w:lvlJc w:val="left"/>
      <w:pPr>
        <w:ind w:left="3666" w:hanging="360"/>
      </w:pPr>
    </w:lvl>
    <w:lvl w:ilvl="5" w:tplc="66204586">
      <w:start w:val="1"/>
      <w:numFmt w:val="lowerRoman"/>
      <w:lvlText w:val="%6."/>
      <w:lvlJc w:val="right"/>
      <w:pPr>
        <w:ind w:left="4386" w:hanging="180"/>
      </w:pPr>
    </w:lvl>
    <w:lvl w:ilvl="6" w:tplc="7D5CCA9E">
      <w:start w:val="1"/>
      <w:numFmt w:val="decimal"/>
      <w:lvlText w:val="%7."/>
      <w:lvlJc w:val="left"/>
      <w:pPr>
        <w:ind w:left="5106" w:hanging="360"/>
      </w:pPr>
    </w:lvl>
    <w:lvl w:ilvl="7" w:tplc="850A507A">
      <w:start w:val="1"/>
      <w:numFmt w:val="lowerLetter"/>
      <w:lvlText w:val="%8."/>
      <w:lvlJc w:val="left"/>
      <w:pPr>
        <w:ind w:left="5826" w:hanging="360"/>
      </w:pPr>
    </w:lvl>
    <w:lvl w:ilvl="8" w:tplc="D612165C">
      <w:start w:val="1"/>
      <w:numFmt w:val="lowerRoman"/>
      <w:lvlText w:val="%9."/>
      <w:lvlJc w:val="right"/>
      <w:pPr>
        <w:ind w:left="6546" w:hanging="180"/>
      </w:pPr>
    </w:lvl>
  </w:abstractNum>
  <w:abstractNum w:abstractNumId="2" w15:restartNumberingAfterBreak="0">
    <w:nsid w:val="209A6338"/>
    <w:multiLevelType w:val="hybridMultilevel"/>
    <w:tmpl w:val="5088CF1C"/>
    <w:lvl w:ilvl="0" w:tplc="1CE6267E">
      <w:start w:val="1"/>
      <w:numFmt w:val="bullet"/>
      <w:lvlText w:val="•"/>
      <w:lvlJc w:val="left"/>
      <w:pPr>
        <w:ind w:left="720" w:hanging="360"/>
      </w:pPr>
      <w:rPr>
        <w:rFonts w:ascii="Calibri" w:eastAsia="Calibri" w:hAnsi="Calibri" w:cs="Calibri" w:hint="default"/>
      </w:rPr>
    </w:lvl>
    <w:lvl w:ilvl="1" w:tplc="19483548">
      <w:start w:val="1"/>
      <w:numFmt w:val="bullet"/>
      <w:lvlText w:val="o"/>
      <w:lvlJc w:val="left"/>
      <w:pPr>
        <w:ind w:left="1440" w:hanging="360"/>
      </w:pPr>
      <w:rPr>
        <w:rFonts w:ascii="Courier New" w:hAnsi="Courier New" w:cs="Courier New" w:hint="default"/>
      </w:rPr>
    </w:lvl>
    <w:lvl w:ilvl="2" w:tplc="95205BFC">
      <w:start w:val="1"/>
      <w:numFmt w:val="bullet"/>
      <w:lvlText w:val=""/>
      <w:lvlJc w:val="left"/>
      <w:pPr>
        <w:ind w:left="2160" w:hanging="360"/>
      </w:pPr>
      <w:rPr>
        <w:rFonts w:ascii="Wingdings" w:hAnsi="Wingdings" w:hint="default"/>
      </w:rPr>
    </w:lvl>
    <w:lvl w:ilvl="3" w:tplc="4356C492">
      <w:start w:val="1"/>
      <w:numFmt w:val="bullet"/>
      <w:lvlText w:val=""/>
      <w:lvlJc w:val="left"/>
      <w:pPr>
        <w:ind w:left="2880" w:hanging="360"/>
      </w:pPr>
      <w:rPr>
        <w:rFonts w:ascii="Symbol" w:hAnsi="Symbol" w:hint="default"/>
      </w:rPr>
    </w:lvl>
    <w:lvl w:ilvl="4" w:tplc="87D8D2B8">
      <w:start w:val="1"/>
      <w:numFmt w:val="bullet"/>
      <w:lvlText w:val="o"/>
      <w:lvlJc w:val="left"/>
      <w:pPr>
        <w:ind w:left="3600" w:hanging="360"/>
      </w:pPr>
      <w:rPr>
        <w:rFonts w:ascii="Courier New" w:hAnsi="Courier New" w:cs="Courier New" w:hint="default"/>
      </w:rPr>
    </w:lvl>
    <w:lvl w:ilvl="5" w:tplc="5E043F06">
      <w:start w:val="1"/>
      <w:numFmt w:val="bullet"/>
      <w:lvlText w:val=""/>
      <w:lvlJc w:val="left"/>
      <w:pPr>
        <w:ind w:left="4320" w:hanging="360"/>
      </w:pPr>
      <w:rPr>
        <w:rFonts w:ascii="Wingdings" w:hAnsi="Wingdings" w:hint="default"/>
      </w:rPr>
    </w:lvl>
    <w:lvl w:ilvl="6" w:tplc="55484478">
      <w:start w:val="1"/>
      <w:numFmt w:val="bullet"/>
      <w:lvlText w:val=""/>
      <w:lvlJc w:val="left"/>
      <w:pPr>
        <w:ind w:left="5040" w:hanging="360"/>
      </w:pPr>
      <w:rPr>
        <w:rFonts w:ascii="Symbol" w:hAnsi="Symbol" w:hint="default"/>
      </w:rPr>
    </w:lvl>
    <w:lvl w:ilvl="7" w:tplc="159C70F6">
      <w:start w:val="1"/>
      <w:numFmt w:val="bullet"/>
      <w:lvlText w:val="o"/>
      <w:lvlJc w:val="left"/>
      <w:pPr>
        <w:ind w:left="5760" w:hanging="360"/>
      </w:pPr>
      <w:rPr>
        <w:rFonts w:ascii="Courier New" w:hAnsi="Courier New" w:cs="Courier New" w:hint="default"/>
      </w:rPr>
    </w:lvl>
    <w:lvl w:ilvl="8" w:tplc="ED6E51F0">
      <w:start w:val="1"/>
      <w:numFmt w:val="bullet"/>
      <w:lvlText w:val=""/>
      <w:lvlJc w:val="left"/>
      <w:pPr>
        <w:ind w:left="6480" w:hanging="360"/>
      </w:pPr>
      <w:rPr>
        <w:rFonts w:ascii="Wingdings" w:hAnsi="Wingdings" w:hint="default"/>
      </w:rPr>
    </w:lvl>
  </w:abstractNum>
  <w:abstractNum w:abstractNumId="3" w15:restartNumberingAfterBreak="0">
    <w:nsid w:val="4E7E776C"/>
    <w:multiLevelType w:val="hybridMultilevel"/>
    <w:tmpl w:val="946C9F38"/>
    <w:lvl w:ilvl="0" w:tplc="98D0F852">
      <w:start w:val="1"/>
      <w:numFmt w:val="decimal"/>
      <w:lvlText w:val="%1."/>
      <w:lvlJc w:val="left"/>
      <w:pPr>
        <w:ind w:left="720" w:hanging="360"/>
      </w:pPr>
    </w:lvl>
    <w:lvl w:ilvl="1" w:tplc="1FAEBE18">
      <w:start w:val="1"/>
      <w:numFmt w:val="lowerLetter"/>
      <w:lvlText w:val="%2."/>
      <w:lvlJc w:val="left"/>
      <w:pPr>
        <w:ind w:left="1440" w:hanging="360"/>
      </w:pPr>
    </w:lvl>
    <w:lvl w:ilvl="2" w:tplc="1586F49C">
      <w:start w:val="1"/>
      <w:numFmt w:val="lowerRoman"/>
      <w:lvlText w:val="%3."/>
      <w:lvlJc w:val="right"/>
      <w:pPr>
        <w:ind w:left="2160" w:hanging="180"/>
      </w:pPr>
    </w:lvl>
    <w:lvl w:ilvl="3" w:tplc="A208760A">
      <w:start w:val="1"/>
      <w:numFmt w:val="decimal"/>
      <w:lvlText w:val="%4."/>
      <w:lvlJc w:val="left"/>
      <w:pPr>
        <w:ind w:left="2880" w:hanging="360"/>
      </w:pPr>
    </w:lvl>
    <w:lvl w:ilvl="4" w:tplc="FC0AB9CA">
      <w:start w:val="1"/>
      <w:numFmt w:val="lowerLetter"/>
      <w:lvlText w:val="%5."/>
      <w:lvlJc w:val="left"/>
      <w:pPr>
        <w:ind w:left="3600" w:hanging="360"/>
      </w:pPr>
    </w:lvl>
    <w:lvl w:ilvl="5" w:tplc="123254E6">
      <w:start w:val="1"/>
      <w:numFmt w:val="lowerRoman"/>
      <w:lvlText w:val="%6."/>
      <w:lvlJc w:val="right"/>
      <w:pPr>
        <w:ind w:left="4320" w:hanging="180"/>
      </w:pPr>
    </w:lvl>
    <w:lvl w:ilvl="6" w:tplc="7158DA60">
      <w:start w:val="1"/>
      <w:numFmt w:val="decimal"/>
      <w:lvlText w:val="%7."/>
      <w:lvlJc w:val="left"/>
      <w:pPr>
        <w:ind w:left="5040" w:hanging="360"/>
      </w:pPr>
    </w:lvl>
    <w:lvl w:ilvl="7" w:tplc="3C24827E">
      <w:start w:val="1"/>
      <w:numFmt w:val="lowerLetter"/>
      <w:lvlText w:val="%8."/>
      <w:lvlJc w:val="left"/>
      <w:pPr>
        <w:ind w:left="5760" w:hanging="360"/>
      </w:pPr>
    </w:lvl>
    <w:lvl w:ilvl="8" w:tplc="AE6E4434">
      <w:start w:val="1"/>
      <w:numFmt w:val="lowerRoman"/>
      <w:lvlText w:val="%9."/>
      <w:lvlJc w:val="right"/>
      <w:pPr>
        <w:ind w:left="6480" w:hanging="180"/>
      </w:pPr>
    </w:lvl>
  </w:abstractNum>
  <w:abstractNum w:abstractNumId="4" w15:restartNumberingAfterBreak="0">
    <w:nsid w:val="6A377B88"/>
    <w:multiLevelType w:val="hybridMultilevel"/>
    <w:tmpl w:val="BA2264C4"/>
    <w:lvl w:ilvl="0" w:tplc="48E635FC">
      <w:start w:val="1"/>
      <w:numFmt w:val="decimal"/>
      <w:lvlText w:val="%1."/>
      <w:lvlJc w:val="left"/>
      <w:pPr>
        <w:ind w:left="720" w:hanging="360"/>
      </w:pPr>
      <w:rPr>
        <w:rFonts w:hint="default"/>
      </w:rPr>
    </w:lvl>
    <w:lvl w:ilvl="1" w:tplc="8A988272">
      <w:start w:val="1"/>
      <w:numFmt w:val="lowerLetter"/>
      <w:lvlText w:val="%2."/>
      <w:lvlJc w:val="left"/>
      <w:pPr>
        <w:ind w:left="1440" w:hanging="360"/>
      </w:pPr>
    </w:lvl>
    <w:lvl w:ilvl="2" w:tplc="CA64FEAA">
      <w:start w:val="1"/>
      <w:numFmt w:val="lowerRoman"/>
      <w:lvlText w:val="%3."/>
      <w:lvlJc w:val="right"/>
      <w:pPr>
        <w:ind w:left="2160" w:hanging="180"/>
      </w:pPr>
    </w:lvl>
    <w:lvl w:ilvl="3" w:tplc="53B49CDE">
      <w:start w:val="1"/>
      <w:numFmt w:val="decimal"/>
      <w:lvlText w:val="%4."/>
      <w:lvlJc w:val="left"/>
      <w:pPr>
        <w:ind w:left="2880" w:hanging="360"/>
      </w:pPr>
    </w:lvl>
    <w:lvl w:ilvl="4" w:tplc="99C8245E">
      <w:start w:val="1"/>
      <w:numFmt w:val="lowerLetter"/>
      <w:lvlText w:val="%5."/>
      <w:lvlJc w:val="left"/>
      <w:pPr>
        <w:ind w:left="3600" w:hanging="360"/>
      </w:pPr>
    </w:lvl>
    <w:lvl w:ilvl="5" w:tplc="875663AC">
      <w:start w:val="1"/>
      <w:numFmt w:val="lowerRoman"/>
      <w:lvlText w:val="%6."/>
      <w:lvlJc w:val="right"/>
      <w:pPr>
        <w:ind w:left="4320" w:hanging="180"/>
      </w:pPr>
    </w:lvl>
    <w:lvl w:ilvl="6" w:tplc="12F0DCD6">
      <w:start w:val="1"/>
      <w:numFmt w:val="decimal"/>
      <w:lvlText w:val="%7."/>
      <w:lvlJc w:val="left"/>
      <w:pPr>
        <w:ind w:left="5040" w:hanging="360"/>
      </w:pPr>
    </w:lvl>
    <w:lvl w:ilvl="7" w:tplc="A4EA3612">
      <w:start w:val="1"/>
      <w:numFmt w:val="lowerLetter"/>
      <w:lvlText w:val="%8."/>
      <w:lvlJc w:val="left"/>
      <w:pPr>
        <w:ind w:left="5760" w:hanging="360"/>
      </w:pPr>
    </w:lvl>
    <w:lvl w:ilvl="8" w:tplc="DBE6841C">
      <w:start w:val="1"/>
      <w:numFmt w:val="lowerRoman"/>
      <w:lvlText w:val="%9."/>
      <w:lvlJc w:val="right"/>
      <w:pPr>
        <w:ind w:left="6480" w:hanging="180"/>
      </w:p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A62"/>
    <w:rsid w:val="00262170"/>
    <w:rsid w:val="00391A62"/>
    <w:rsid w:val="008449C2"/>
    <w:rsid w:val="008E6F27"/>
    <w:rsid w:val="00BE7091"/>
    <w:rsid w:val="00ED2B3C"/>
    <w:rsid w:val="00F138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B1488"/>
  <w15:docId w15:val="{91B7A899-6908-4393-BFF1-47228F441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pPr>
      <w:keepNext/>
      <w:keepLines/>
      <w:spacing w:before="480" w:after="200"/>
      <w:outlineLvl w:val="0"/>
    </w:pPr>
    <w:rPr>
      <w:rFonts w:ascii="Arial" w:eastAsia="Arial" w:hAnsi="Arial" w:cs="Arial"/>
      <w:sz w:val="40"/>
      <w:szCs w:val="40"/>
    </w:rPr>
  </w:style>
  <w:style w:type="paragraph" w:styleId="Titre2">
    <w:name w:val="heading 2"/>
    <w:basedOn w:val="Normal"/>
    <w:next w:val="Normal"/>
    <w:link w:val="Titre2Car"/>
    <w:uiPriority w:val="9"/>
    <w:unhideWhenUsed/>
    <w:qFormat/>
    <w:pPr>
      <w:keepNext/>
      <w:keepLines/>
      <w:spacing w:before="360" w:after="200"/>
      <w:outlineLvl w:val="1"/>
    </w:pPr>
    <w:rPr>
      <w:rFonts w:ascii="Arial" w:eastAsia="Arial" w:hAnsi="Arial" w:cs="Arial"/>
      <w:sz w:val="34"/>
    </w:rPr>
  </w:style>
  <w:style w:type="paragraph" w:styleId="Titre3">
    <w:name w:val="heading 3"/>
    <w:basedOn w:val="Normal"/>
    <w:next w:val="Normal"/>
    <w:link w:val="Titre3Car"/>
    <w:uiPriority w:val="9"/>
    <w:unhideWhenUsed/>
    <w:qFormat/>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ascii="Arial" w:eastAsia="Arial" w:hAnsi="Arial" w:cs="Arial"/>
      <w:b/>
      <w:bCs/>
      <w:sz w:val="24"/>
      <w:szCs w:val="24"/>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cs="Arial"/>
      <w:b/>
      <w:bCs/>
      <w:i/>
      <w:iCs/>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Arial" w:eastAsia="Arial" w:hAnsi="Arial" w:cs="Arial"/>
      <w:sz w:val="40"/>
      <w:szCs w:val="40"/>
    </w:rPr>
  </w:style>
  <w:style w:type="character" w:customStyle="1" w:styleId="Titre2Car">
    <w:name w:val="Titre 2 Car"/>
    <w:basedOn w:val="Policepardfaut"/>
    <w:link w:val="Titre2"/>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pPr>
      <w:spacing w:after="0" w:line="240" w:lineRule="auto"/>
    </w:pPr>
  </w:style>
  <w:style w:type="paragraph" w:styleId="Titre">
    <w:name w:val="Title"/>
    <w:basedOn w:val="Normal"/>
    <w:next w:val="Normal"/>
    <w:link w:val="TitreCar"/>
    <w:uiPriority w:val="10"/>
    <w:qFormat/>
    <w:pPr>
      <w:spacing w:before="300" w:after="2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after="200"/>
    </w:pPr>
    <w:rPr>
      <w:sz w:val="24"/>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CitationintenseCar">
    <w:name w:val="Citation intense Car"/>
    <w:link w:val="Citationintense"/>
    <w:uiPriority w:val="30"/>
    <w:rPr>
      <w:i/>
    </w:rPr>
  </w:style>
  <w:style w:type="paragraph" w:styleId="En-tte">
    <w:name w:val="header"/>
    <w:basedOn w:val="Normal"/>
    <w:link w:val="En-tteCar"/>
    <w:uiPriority w:val="99"/>
    <w:unhideWhenUsed/>
    <w:pPr>
      <w:tabs>
        <w:tab w:val="center" w:pos="7143"/>
        <w:tab w:val="right" w:pos="14287"/>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7143"/>
        <w:tab w:val="right" w:pos="14287"/>
      </w:tabs>
      <w:spacing w:after="0" w:line="240" w:lineRule="auto"/>
    </w:pPr>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5B9BD5" w:themeColor="accent1"/>
      <w:sz w:val="18"/>
      <w:szCs w:val="18"/>
    </w:rPr>
  </w:style>
  <w:style w:type="character" w:customStyle="1" w:styleId="PieddepageCar">
    <w:name w:val="Pied de page Car"/>
    <w:link w:val="Pieddepage"/>
    <w:uiPriority w:val="99"/>
  </w:style>
  <w:style w:type="table" w:styleId="Grilledutableau">
    <w:name w:val="Table Grid"/>
    <w:basedOn w:val="Tableau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FFFFFF"/>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DEAF6" w:themeFill="accent1" w:themeFillTint="34"/>
      </w:tcPr>
    </w:tblStylePr>
    <w:tblStylePr w:type="band1Horz">
      <w:rPr>
        <w:rFonts w:ascii="Arial" w:hAnsi="Arial"/>
        <w:color w:val="404040"/>
        <w:sz w:val="22"/>
      </w:rPr>
      <w:tblPr/>
      <w:tcPr>
        <w:shd w:val="clear" w:color="FFFFFF" w:fill="DDEAF6"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FFFFFF"/>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Pr/>
      <w:tcPr>
        <w:shd w:val="clear" w:color="FFFFFF" w:fill="D8E2F3"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DEAF6" w:themeFill="accent1" w:themeFillTint="34"/>
      </w:tcPr>
    </w:tblStylePr>
    <w:tblStylePr w:type="band1Horz">
      <w:rPr>
        <w:rFonts w:ascii="Arial" w:hAnsi="Arial"/>
        <w:color w:val="404040"/>
        <w:sz w:val="22"/>
      </w:rPr>
      <w:tblPr/>
      <w:tcPr>
        <w:shd w:val="clear" w:color="FFFFFF" w:fill="DDEAF6"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Pr/>
      <w:tcPr>
        <w:shd w:val="clear" w:color="FFFFFF" w:fill="D8E2F3"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FFFFFF"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EEBF6" w:themeFill="accent1" w:themeFillTint="32"/>
      </w:tcPr>
    </w:tblStylePr>
    <w:tblStylePr w:type="band1Horz">
      <w:rPr>
        <w:rFonts w:ascii="Arial" w:hAnsi="Arial"/>
        <w:color w:val="404040"/>
        <w:sz w:val="22"/>
      </w:rPr>
      <w:tblPr/>
      <w:tcPr>
        <w:shd w:val="clear" w:color="FFFFFF" w:fill="DEEBF6"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FFFFF"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FFFFFF"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FFFF"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FFFFFF"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Pr/>
      <w:tcPr>
        <w:shd w:val="clear" w:color="FFFFFF" w:fill="D8E2F3"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FFFFFF"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DEAF6" w:themeFill="accent1" w:themeFillTint="34"/>
    </w:tblPr>
    <w:tblStylePr w:type="firstRow">
      <w:rPr>
        <w:rFonts w:ascii="Arial" w:hAnsi="Arial"/>
        <w:b/>
        <w:color w:val="FFFFFF"/>
        <w:sz w:val="22"/>
      </w:rPr>
      <w:tblPr/>
      <w:tcPr>
        <w:shd w:val="clear" w:color="FFFFFF" w:fill="5B9BD5" w:themeFill="accent1"/>
      </w:tcPr>
    </w:tblStylePr>
    <w:tblStylePr w:type="lastRow">
      <w:rPr>
        <w:rFonts w:ascii="Arial" w:hAnsi="Arial"/>
        <w:b/>
        <w:color w:val="FFFFFF"/>
        <w:sz w:val="22"/>
      </w:rPr>
      <w:tblPr/>
      <w:tcPr>
        <w:tcBorders>
          <w:top w:val="single" w:sz="4" w:space="0" w:color="FFFFFF" w:themeColor="light1"/>
        </w:tcBorders>
        <w:shd w:val="clear" w:color="FFFFFF" w:fill="5B9BD5" w:themeFill="accent1"/>
      </w:tcPr>
    </w:tblStylePr>
    <w:tblStylePr w:type="firstCol">
      <w:rPr>
        <w:rFonts w:ascii="Arial" w:hAnsi="Arial"/>
        <w:b/>
        <w:color w:val="FFFFFF"/>
        <w:sz w:val="22"/>
      </w:rPr>
      <w:tblPr/>
      <w:tcPr>
        <w:shd w:val="clear" w:color="FFFFFF" w:fill="5B9BD5" w:themeFill="accent1"/>
      </w:tcPr>
    </w:tblStylePr>
    <w:tblStylePr w:type="lastCol">
      <w:rPr>
        <w:rFonts w:ascii="Arial" w:hAnsi="Arial"/>
        <w:b/>
        <w:color w:val="FFFFFF"/>
        <w:sz w:val="22"/>
      </w:rPr>
      <w:tblPr/>
      <w:tcPr>
        <w:shd w:val="clear" w:color="FFFFFF" w:fill="5B9BD5" w:themeFill="accent1"/>
      </w:tcPr>
    </w:tblStylePr>
    <w:tblStylePr w:type="band1Vert">
      <w:tblPr/>
      <w:tcPr>
        <w:shd w:val="clear" w:color="FFFFFF" w:fill="B3D0EB" w:themeFill="accent1" w:themeFillTint="75"/>
      </w:tcPr>
    </w:tblStylePr>
    <w:tblStylePr w:type="band1Horz">
      <w:tblPr/>
      <w:tcPr>
        <w:shd w:val="clear" w:color="FFFFFF" w:fill="B3D0EB"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5D6" w:themeFill="accent2" w:themeFillTint="32"/>
    </w:tblPr>
    <w:tblStylePr w:type="firstRow">
      <w:rPr>
        <w:rFonts w:ascii="Arial" w:hAnsi="Arial"/>
        <w:b/>
        <w:color w:val="FFFFFF"/>
        <w:sz w:val="22"/>
      </w:rPr>
      <w:tblPr/>
      <w:tcPr>
        <w:shd w:val="clear" w:color="FFFFFF" w:fill="ED7D31" w:themeFill="accent2"/>
      </w:tcPr>
    </w:tblStylePr>
    <w:tblStylePr w:type="lastRow">
      <w:rPr>
        <w:rFonts w:ascii="Arial" w:hAnsi="Arial"/>
        <w:b/>
        <w:color w:val="FFFFFF"/>
        <w:sz w:val="22"/>
      </w:rPr>
      <w:tblPr/>
      <w:tcPr>
        <w:tcBorders>
          <w:top w:val="single" w:sz="4" w:space="0" w:color="FFFFFF" w:themeColor="light1"/>
        </w:tcBorders>
        <w:shd w:val="clear" w:color="FFFFFF" w:fill="ED7D31" w:themeFill="accent2"/>
      </w:tcPr>
    </w:tblStylePr>
    <w:tblStylePr w:type="firstCol">
      <w:rPr>
        <w:rFonts w:ascii="Arial" w:hAnsi="Arial"/>
        <w:b/>
        <w:color w:val="FFFFFF"/>
        <w:sz w:val="22"/>
      </w:rPr>
      <w:tblPr/>
      <w:tcPr>
        <w:shd w:val="clear" w:color="FFFFFF" w:fill="ED7D31" w:themeFill="accent2"/>
      </w:tcPr>
    </w:tblStylePr>
    <w:tblStylePr w:type="lastCol">
      <w:rPr>
        <w:rFonts w:ascii="Arial" w:hAnsi="Arial"/>
        <w:b/>
        <w:color w:val="FFFFFF"/>
        <w:sz w:val="22"/>
      </w:rPr>
      <w:tblPr/>
      <w:tcPr>
        <w:shd w:val="clear" w:color="FFFFFF" w:fill="ED7D31" w:themeFill="accent2"/>
      </w:tcPr>
    </w:tblStylePr>
    <w:tblStylePr w:type="band1Vert">
      <w:tblPr/>
      <w:tcPr>
        <w:shd w:val="clear" w:color="FFFFFF" w:fill="F6C3A0" w:themeFill="accent2" w:themeFillTint="75"/>
      </w:tcPr>
    </w:tblStylePr>
    <w:tblStylePr w:type="band1Horz">
      <w:tblPr/>
      <w:tcPr>
        <w:shd w:val="clear" w:color="FFFFFF" w:fill="F6C3A0"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CECEC" w:themeFill="accent3" w:themeFillTint="34"/>
    </w:tblPr>
    <w:tblStylePr w:type="firstRow">
      <w:rPr>
        <w:rFonts w:ascii="Arial" w:hAnsi="Arial"/>
        <w:b/>
        <w:color w:val="FFFFFF"/>
        <w:sz w:val="22"/>
      </w:rPr>
      <w:tblPr/>
      <w:tcPr>
        <w:shd w:val="clear" w:color="FFFFFF" w:fill="A5A5A5" w:themeFill="accent3"/>
      </w:tcPr>
    </w:tblStylePr>
    <w:tblStylePr w:type="lastRow">
      <w:rPr>
        <w:rFonts w:ascii="Arial" w:hAnsi="Arial"/>
        <w:b/>
        <w:color w:val="FFFFFF"/>
        <w:sz w:val="22"/>
      </w:rPr>
      <w:tblPr/>
      <w:tcPr>
        <w:tcBorders>
          <w:top w:val="single" w:sz="4" w:space="0" w:color="FFFFFF" w:themeColor="light1"/>
        </w:tcBorders>
        <w:shd w:val="clear" w:color="FFFFFF" w:fill="A5A5A5" w:themeFill="accent3"/>
      </w:tcPr>
    </w:tblStylePr>
    <w:tblStylePr w:type="firstCol">
      <w:rPr>
        <w:rFonts w:ascii="Arial" w:hAnsi="Arial"/>
        <w:b/>
        <w:color w:val="FFFFFF"/>
        <w:sz w:val="22"/>
      </w:rPr>
      <w:tblPr/>
      <w:tcPr>
        <w:shd w:val="clear" w:color="FFFFFF" w:fill="A5A5A5" w:themeFill="accent3"/>
      </w:tcPr>
    </w:tblStylePr>
    <w:tblStylePr w:type="lastCol">
      <w:rPr>
        <w:rFonts w:ascii="Arial" w:hAnsi="Arial"/>
        <w:b/>
        <w:color w:val="FFFFFF"/>
        <w:sz w:val="22"/>
      </w:rPr>
      <w:tblPr/>
      <w:tcPr>
        <w:shd w:val="clear" w:color="FFFFFF" w:fill="A5A5A5" w:themeFill="accent3"/>
      </w:tcPr>
    </w:tblStylePr>
    <w:tblStylePr w:type="band1Vert">
      <w:tblPr/>
      <w:tcPr>
        <w:shd w:val="clear" w:color="FFFFFF" w:fill="D5D5D5" w:themeFill="accent3" w:themeFillTint="75"/>
      </w:tcPr>
    </w:tblStylePr>
    <w:tblStylePr w:type="band1Horz">
      <w:tblPr/>
      <w:tcPr>
        <w:shd w:val="clear" w:color="FFFFFF" w:fill="D5D5D5"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2CB" w:themeFill="accent4" w:themeFillTint="34"/>
    </w:tblPr>
    <w:tblStylePr w:type="firstRow">
      <w:rPr>
        <w:rFonts w:ascii="Arial" w:hAnsi="Arial"/>
        <w:b/>
        <w:color w:val="FFFFFF"/>
        <w:sz w:val="22"/>
      </w:rPr>
      <w:tblPr/>
      <w:tcPr>
        <w:shd w:val="clear" w:color="FFFFFF" w:fill="FFC000" w:themeFill="accent4"/>
      </w:tcPr>
    </w:tblStylePr>
    <w:tblStylePr w:type="lastRow">
      <w:rPr>
        <w:rFonts w:ascii="Arial" w:hAnsi="Arial"/>
        <w:b/>
        <w:color w:val="FFFFFF"/>
        <w:sz w:val="22"/>
      </w:rPr>
      <w:tblPr/>
      <w:tcPr>
        <w:tcBorders>
          <w:top w:val="single" w:sz="4" w:space="0" w:color="FFFFFF" w:themeColor="light1"/>
        </w:tcBorders>
        <w:shd w:val="clear" w:color="FFFFFF" w:fill="FFC000" w:themeFill="accent4"/>
      </w:tcPr>
    </w:tblStylePr>
    <w:tblStylePr w:type="firstCol">
      <w:rPr>
        <w:rFonts w:ascii="Arial" w:hAnsi="Arial"/>
        <w:b/>
        <w:color w:val="FFFFFF"/>
        <w:sz w:val="22"/>
      </w:rPr>
      <w:tblPr/>
      <w:tcPr>
        <w:shd w:val="clear" w:color="FFFFFF" w:fill="FFC000" w:themeFill="accent4"/>
      </w:tcPr>
    </w:tblStylePr>
    <w:tblStylePr w:type="lastCol">
      <w:rPr>
        <w:rFonts w:ascii="Arial" w:hAnsi="Arial"/>
        <w:b/>
        <w:color w:val="FFFFFF"/>
        <w:sz w:val="22"/>
      </w:rPr>
      <w:tblPr/>
      <w:tcPr>
        <w:shd w:val="clear" w:color="FFFFFF" w:fill="FFC000" w:themeFill="accent4"/>
      </w:tcPr>
    </w:tblStylePr>
    <w:tblStylePr w:type="band1Vert">
      <w:tblPr/>
      <w:tcPr>
        <w:shd w:val="clear" w:color="FFFFFF" w:fill="FFE28A" w:themeFill="accent4" w:themeFillTint="75"/>
      </w:tcPr>
    </w:tblStylePr>
    <w:tblStylePr w:type="band1Horz">
      <w:tblPr/>
      <w:tcPr>
        <w:shd w:val="clear" w:color="FFFFFF" w:fill="FFE28A"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8E2F3" w:themeFill="accent5" w:themeFillTint="34"/>
    </w:tblPr>
    <w:tblStylePr w:type="firstRow">
      <w:rPr>
        <w:rFonts w:ascii="Arial" w:hAnsi="Arial"/>
        <w:b/>
        <w:color w:val="FFFFFF"/>
        <w:sz w:val="22"/>
      </w:rPr>
      <w:tblPr/>
      <w:tcPr>
        <w:shd w:val="clear" w:color="FFFFFF" w:fill="4472C4" w:themeFill="accent5"/>
      </w:tcPr>
    </w:tblStylePr>
    <w:tblStylePr w:type="lastRow">
      <w:rPr>
        <w:rFonts w:ascii="Arial" w:hAnsi="Arial"/>
        <w:b/>
        <w:color w:val="FFFFFF"/>
        <w:sz w:val="22"/>
      </w:rPr>
      <w:tblPr/>
      <w:tcPr>
        <w:tcBorders>
          <w:top w:val="single" w:sz="4" w:space="0" w:color="FFFFFF" w:themeColor="light1"/>
        </w:tcBorders>
        <w:shd w:val="clear" w:color="FFFFFF" w:fill="4472C4" w:themeFill="accent5"/>
      </w:tcPr>
    </w:tblStylePr>
    <w:tblStylePr w:type="firstCol">
      <w:rPr>
        <w:rFonts w:ascii="Arial" w:hAnsi="Arial"/>
        <w:b/>
        <w:color w:val="FFFFFF"/>
        <w:sz w:val="22"/>
      </w:rPr>
      <w:tblPr/>
      <w:tcPr>
        <w:shd w:val="clear" w:color="FFFFFF" w:fill="4472C4" w:themeFill="accent5"/>
      </w:tcPr>
    </w:tblStylePr>
    <w:tblStylePr w:type="lastCol">
      <w:rPr>
        <w:rFonts w:ascii="Arial" w:hAnsi="Arial"/>
        <w:b/>
        <w:color w:val="FFFFFF"/>
        <w:sz w:val="22"/>
      </w:rPr>
      <w:tblPr/>
      <w:tcPr>
        <w:shd w:val="clear" w:color="FFFFFF" w:fill="4472C4" w:themeFill="accent5"/>
      </w:tcPr>
    </w:tblStylePr>
    <w:tblStylePr w:type="band1Vert">
      <w:tblPr/>
      <w:tcPr>
        <w:shd w:val="clear" w:color="FFFFFF" w:fill="A9BEE4" w:themeFill="accent5" w:themeFillTint="75"/>
      </w:tcPr>
    </w:tblStylePr>
    <w:tblStylePr w:type="band1Horz">
      <w:tblPr/>
      <w:tcPr>
        <w:shd w:val="clear" w:color="FFFFFF" w:fill="A9BEE4"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1EFD8" w:themeFill="accent6" w:themeFillTint="34"/>
    </w:tblPr>
    <w:tblStylePr w:type="firstRow">
      <w:rPr>
        <w:rFonts w:ascii="Arial" w:hAnsi="Arial"/>
        <w:b/>
        <w:color w:val="FFFFFF"/>
        <w:sz w:val="22"/>
      </w:rPr>
      <w:tblPr/>
      <w:tcPr>
        <w:shd w:val="clear" w:color="FFFFFF" w:fill="70AD47" w:themeFill="accent6"/>
      </w:tcPr>
    </w:tblStylePr>
    <w:tblStylePr w:type="lastRow">
      <w:rPr>
        <w:rFonts w:ascii="Arial" w:hAnsi="Arial"/>
        <w:b/>
        <w:color w:val="FFFFFF"/>
        <w:sz w:val="22"/>
      </w:rPr>
      <w:tblPr/>
      <w:tcPr>
        <w:tcBorders>
          <w:top w:val="single" w:sz="4" w:space="0" w:color="FFFFFF" w:themeColor="light1"/>
        </w:tcBorders>
        <w:shd w:val="clear" w:color="FFFFFF" w:fill="70AD47" w:themeFill="accent6"/>
      </w:tcPr>
    </w:tblStylePr>
    <w:tblStylePr w:type="firstCol">
      <w:rPr>
        <w:rFonts w:ascii="Arial" w:hAnsi="Arial"/>
        <w:b/>
        <w:color w:val="FFFFFF"/>
        <w:sz w:val="22"/>
      </w:rPr>
      <w:tblPr/>
      <w:tcPr>
        <w:shd w:val="clear" w:color="FFFFFF" w:fill="70AD47" w:themeFill="accent6"/>
      </w:tcPr>
    </w:tblStylePr>
    <w:tblStylePr w:type="lastCol">
      <w:rPr>
        <w:rFonts w:ascii="Arial" w:hAnsi="Arial"/>
        <w:b/>
        <w:color w:val="FFFFFF"/>
        <w:sz w:val="22"/>
      </w:rPr>
      <w:tblPr/>
      <w:tcPr>
        <w:shd w:val="clear" w:color="FFFFFF" w:fill="70AD47" w:themeFill="accent6"/>
      </w:tcPr>
    </w:tblStylePr>
    <w:tblStylePr w:type="band1Vert">
      <w:tblPr/>
      <w:tcPr>
        <w:shd w:val="clear" w:color="FFFFFF" w:fill="BCDBA8" w:themeFill="accent6" w:themeFillTint="75"/>
      </w:tcPr>
    </w:tblStylePr>
    <w:tblStylePr w:type="band1Horz">
      <w:tblPr/>
      <w:tcPr>
        <w:shd w:val="clear" w:color="FFFFFF" w:fill="BCDBA8"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FFFFFF" w:fill="DDEAF6" w:themeFill="accent1" w:themeFillTint="34"/>
      </w:tcPr>
    </w:tblStylePr>
    <w:tblStylePr w:type="band1Horz">
      <w:rPr>
        <w:rFonts w:ascii="Arial" w:hAnsi="Arial"/>
        <w:color w:val="ACCCEA" w:themeColor="accent1" w:themeTint="80" w:themeShade="95"/>
        <w:sz w:val="22"/>
      </w:rPr>
      <w:tblPr/>
      <w:tcPr>
        <w:shd w:val="clear" w:color="FFFFFF"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FFFFFF" w:fill="D8E2F3" w:themeFill="accent5" w:themeFillTint="34"/>
      </w:tcPr>
    </w:tblStylePr>
    <w:tblStylePr w:type="band1Horz">
      <w:rPr>
        <w:rFonts w:ascii="Arial" w:hAnsi="Arial"/>
        <w:color w:val="254175" w:themeColor="accent5" w:themeShade="95"/>
        <w:sz w:val="22"/>
      </w:rPr>
      <w:tblPr/>
      <w:tcPr>
        <w:shd w:val="clear" w:color="FFFFFF"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FFFFFF" w:fill="E1EFD8" w:themeFill="accent6" w:themeFillTint="34"/>
      </w:tcPr>
    </w:tblStylePr>
    <w:tblStylePr w:type="band1Horz">
      <w:rPr>
        <w:rFonts w:ascii="Arial" w:hAnsi="Arial"/>
        <w:color w:val="254175" w:themeColor="accent5" w:themeShade="95"/>
        <w:sz w:val="22"/>
      </w:rPr>
      <w:tblPr/>
      <w:tcPr>
        <w:shd w:val="clear" w:color="FFFFFF" w:fill="E1EFD8" w:themeFill="accent6" w:themeFillTint="34"/>
      </w:tcPr>
    </w:tblStylePr>
    <w:tblStylePr w:type="band2Horz">
      <w:rPr>
        <w:rFonts w:ascii="Arial" w:hAnsi="Arial"/>
        <w:color w:val="254175"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FFFFFF"/>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FFFFFF"/>
      </w:tcPr>
    </w:tblStylePr>
    <w:tblStylePr w:type="band1Vert">
      <w:tblPr/>
      <w:tcPr>
        <w:shd w:val="clear" w:color="FFFFFF" w:fill="DDEAF6" w:themeFill="accent1" w:themeFillTint="34"/>
      </w:tcPr>
    </w:tblStylePr>
    <w:tblStylePr w:type="band1Horz">
      <w:rPr>
        <w:rFonts w:ascii="Arial" w:hAnsi="Arial"/>
        <w:color w:val="ACCCEA" w:themeColor="accent1" w:themeTint="80" w:themeShade="95"/>
        <w:sz w:val="22"/>
      </w:rPr>
      <w:tblPr/>
      <w:tcPr>
        <w:shd w:val="clear" w:color="FFFFFF"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FFFFFF"/>
      </w:tc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FFFFFF"/>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FFFFFF"/>
      </w:tc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FFFFFF"/>
      </w:tc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FFFFFF"/>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FFFFFF"/>
      </w:tcPr>
    </w:tblStylePr>
    <w:tblStylePr w:type="band1Vert">
      <w:tblPr/>
      <w:tcPr>
        <w:shd w:val="clear" w:color="FFFFFF" w:fill="D8E2F3" w:themeFill="accent5" w:themeFillTint="34"/>
      </w:tcPr>
    </w:tblStylePr>
    <w:tblStylePr w:type="band1Horz">
      <w:rPr>
        <w:rFonts w:ascii="Arial" w:hAnsi="Arial"/>
        <w:color w:val="254175" w:themeColor="accent5" w:themeShade="95"/>
        <w:sz w:val="22"/>
      </w:rPr>
      <w:tblPr/>
      <w:tcPr>
        <w:shd w:val="clear" w:color="FFFFFF"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FFFFFF"/>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FFFFFF"/>
      </w:tcPr>
    </w:tblStylePr>
    <w:tblStylePr w:type="band1Vert">
      <w:tblPr/>
      <w:tcPr>
        <w:shd w:val="clear" w:color="FFFFFF" w:fill="E1EFD8" w:themeFill="accent6" w:themeFillTint="34"/>
      </w:tcPr>
    </w:tblStylePr>
    <w:tblStylePr w:type="band1Horz">
      <w:rPr>
        <w:rFonts w:ascii="Arial" w:hAnsi="Arial"/>
        <w:color w:val="416429" w:themeColor="accent6" w:themeShade="95"/>
        <w:sz w:val="22"/>
      </w:rPr>
      <w:tblPr/>
      <w:tcPr>
        <w:shd w:val="clear" w:color="FFFFFF"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5E5F4" w:themeFill="accent1" w:themeFillTint="40"/>
      </w:tcPr>
    </w:tblStylePr>
    <w:tblStylePr w:type="band1Horz">
      <w:tblPr/>
      <w:tcPr>
        <w:shd w:val="clear" w:color="FFFFFF" w:fill="D5E5F4"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ADECB" w:themeFill="accent2" w:themeFillTint="40"/>
      </w:tcPr>
    </w:tblStylePr>
    <w:tblStylePr w:type="band1Horz">
      <w:tblPr/>
      <w:tcPr>
        <w:shd w:val="clear" w:color="FFFFFF" w:fill="FADECB"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8E8E8" w:themeFill="accent3" w:themeFillTint="40"/>
      </w:tcPr>
    </w:tblStylePr>
    <w:tblStylePr w:type="band1Horz">
      <w:tblPr/>
      <w:tcPr>
        <w:shd w:val="clear" w:color="FFFFFF" w:fill="E8E8E8"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EFBF" w:themeFill="accent4" w:themeFillTint="40"/>
      </w:tcPr>
    </w:tblStylePr>
    <w:tblStylePr w:type="band1Horz">
      <w:tblPr/>
      <w:tcPr>
        <w:shd w:val="clear" w:color="FFFFFF" w:fill="FFEFBF"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DBF0" w:themeFill="accent5" w:themeFillTint="40"/>
      </w:tcPr>
    </w:tblStylePr>
    <w:tblStylePr w:type="band1Horz">
      <w:tblPr/>
      <w:tcPr>
        <w:shd w:val="clear" w:color="FFFFFF" w:fill="CFDBF0"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AEBCF" w:themeFill="accent6" w:themeFillTint="40"/>
      </w:tcPr>
    </w:tblStylePr>
    <w:tblStylePr w:type="band1Horz">
      <w:tblPr/>
      <w:tcPr>
        <w:shd w:val="clear" w:color="FFFFFF" w:fill="DAEBCF"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5E5F4" w:themeFill="accent1" w:themeFillTint="40"/>
      </w:tcPr>
    </w:tblStylePr>
    <w:tblStylePr w:type="band1Horz">
      <w:rPr>
        <w:rFonts w:ascii="Arial" w:hAnsi="Arial"/>
        <w:color w:val="404040"/>
        <w:sz w:val="22"/>
      </w:rPr>
      <w:tblPr/>
      <w:tcPr>
        <w:shd w:val="clear" w:color="FFFFFF" w:fill="D5E5F4"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DBF0" w:themeFill="accent5" w:themeFillTint="40"/>
      </w:tcPr>
    </w:tblStylePr>
    <w:tblStylePr w:type="band1Horz">
      <w:rPr>
        <w:rFonts w:ascii="Arial" w:hAnsi="Arial"/>
        <w:color w:val="404040"/>
        <w:sz w:val="22"/>
      </w:rPr>
      <w:tblPr/>
      <w:tcPr>
        <w:shd w:val="clear" w:color="FFFFFF" w:fill="CFDBF0"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FFFFFF"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FFFFF"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FFFFFF"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FFFF"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FFFFFF"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FFFFFF"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FFFFFF"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5E5F4" w:themeFill="accent1" w:themeFillTint="40"/>
      </w:tcPr>
    </w:tblStylePr>
    <w:tblStylePr w:type="band1Horz">
      <w:rPr>
        <w:rFonts w:ascii="Arial" w:hAnsi="Arial"/>
        <w:color w:val="404040"/>
        <w:sz w:val="22"/>
      </w:rPr>
      <w:tblPr/>
      <w:tcPr>
        <w:shd w:val="clear" w:color="FFFFFF" w:fill="D5E5F4"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FFFFFF"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FFFFFF"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FFFF"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FFFFFF"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DBF0" w:themeFill="accent5" w:themeFillTint="40"/>
      </w:tcPr>
    </w:tblStylePr>
    <w:tblStylePr w:type="band1Horz">
      <w:rPr>
        <w:rFonts w:ascii="Arial" w:hAnsi="Arial"/>
        <w:color w:val="404040"/>
        <w:sz w:val="22"/>
      </w:rPr>
      <w:tblPr/>
      <w:tcPr>
        <w:shd w:val="clear" w:color="FFFFFF" w:fill="CFDBF0"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FFFFFF"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FFFFFF"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FFFFFF"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FFFFFF"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5B9BD5" w:themeFill="accent1"/>
      </w:tcPr>
    </w:tblStylePr>
    <w:tblStylePr w:type="band2Horz">
      <w:tblPr/>
      <w:tcPr>
        <w:tcBorders>
          <w:top w:val="single" w:sz="4" w:space="0" w:color="FFFFFF" w:themeColor="light1"/>
          <w:bottom w:val="single" w:sz="4" w:space="0" w:color="FFFFFF" w:themeColor="light1"/>
        </w:tcBorders>
        <w:shd w:val="clear" w:color="FFFFFF" w:fill="5B9BD5"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FFFFF"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FFFFF"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4B184" w:themeFill="accent2" w:themeFillTint="97"/>
      </w:tcPr>
    </w:tblStylePr>
    <w:tblStylePr w:type="band2Horz">
      <w:tblPr/>
      <w:tcPr>
        <w:tcBorders>
          <w:top w:val="single" w:sz="4" w:space="0" w:color="FFFFFF" w:themeColor="light1"/>
          <w:bottom w:val="single" w:sz="4" w:space="0" w:color="FFFFFF" w:themeColor="light1"/>
        </w:tcBorders>
        <w:shd w:val="clear" w:color="FFFFFF" w:fill="F4B184"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FFFFFF"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FFFFFF"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9C9C9" w:themeFill="accent3" w:themeFillTint="98"/>
      </w:tcPr>
    </w:tblStylePr>
    <w:tblStylePr w:type="band2Horz">
      <w:tblPr/>
      <w:tcPr>
        <w:tcBorders>
          <w:top w:val="single" w:sz="4" w:space="0" w:color="FFFFFF" w:themeColor="light1"/>
          <w:bottom w:val="single" w:sz="4" w:space="0" w:color="FFFFFF" w:themeColor="light1"/>
        </w:tcBorders>
        <w:shd w:val="clear" w:color="FFFFFF" w:fill="C9C9C9"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FFFF"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FFFF"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D865" w:themeFill="accent4" w:themeFillTint="9A"/>
      </w:tcPr>
    </w:tblStylePr>
    <w:tblStylePr w:type="band2Horz">
      <w:tblPr/>
      <w:tcPr>
        <w:tcBorders>
          <w:top w:val="single" w:sz="4" w:space="0" w:color="FFFFFF" w:themeColor="light1"/>
          <w:bottom w:val="single" w:sz="4" w:space="0" w:color="FFFFFF" w:themeColor="light1"/>
        </w:tcBorders>
        <w:shd w:val="clear" w:color="FFFFFF" w:fill="FFD865"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FFFFFF"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FFFFFF"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8DA9DB" w:themeFill="accent5" w:themeFillTint="9A"/>
      </w:tcPr>
    </w:tblStylePr>
    <w:tblStylePr w:type="band2Horz">
      <w:tblPr/>
      <w:tcPr>
        <w:tcBorders>
          <w:top w:val="single" w:sz="4" w:space="0" w:color="FFFFFF" w:themeColor="light1"/>
          <w:bottom w:val="single" w:sz="4" w:space="0" w:color="FFFFFF" w:themeColor="light1"/>
        </w:tcBorders>
        <w:shd w:val="clear" w:color="FFFFFF" w:fill="8DA9DB"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FFFFFF"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FFFFFF"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A9D08E" w:themeFill="accent6" w:themeFillTint="98"/>
      </w:tcPr>
    </w:tblStylePr>
    <w:tblStylePr w:type="band2Horz">
      <w:tblPr/>
      <w:tcPr>
        <w:tcBorders>
          <w:top w:val="single" w:sz="4" w:space="0" w:color="FFFFFF" w:themeColor="light1"/>
          <w:bottom w:val="single" w:sz="4" w:space="0" w:color="FFFFFF" w:themeColor="light1"/>
        </w:tcBorders>
        <w:shd w:val="clear" w:color="FFFFFF" w:fill="A9D08E"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FFFFFF" w:fill="D5E5F4" w:themeFill="accent1" w:themeFillTint="40"/>
      </w:tcPr>
    </w:tblStylePr>
    <w:tblStylePr w:type="band1Horz">
      <w:rPr>
        <w:rFonts w:ascii="Arial" w:hAnsi="Arial"/>
        <w:color w:val="245A8D" w:themeColor="accent1" w:themeShade="95"/>
        <w:sz w:val="22"/>
      </w:rPr>
      <w:tblPr/>
      <w:tcPr>
        <w:shd w:val="clear" w:color="FFFFFF"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FFFFFF" w:fill="CFDBF0" w:themeFill="accent5" w:themeFillTint="40"/>
      </w:tcPr>
    </w:tblStylePr>
    <w:tblStylePr w:type="band1Horz">
      <w:rPr>
        <w:rFonts w:ascii="Arial" w:hAnsi="Arial"/>
        <w:color w:val="8DA9DB" w:themeColor="accent5" w:themeTint="9A" w:themeShade="95"/>
        <w:sz w:val="22"/>
      </w:rPr>
      <w:tblPr/>
      <w:tcPr>
        <w:shd w:val="clear" w:color="FFFFFF"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FFFFFF"/>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FFFFFF"/>
      </w:tcPr>
    </w:tblStylePr>
    <w:tblStylePr w:type="band1Vert">
      <w:tblPr/>
      <w:tcPr>
        <w:shd w:val="clear" w:color="FFFFFF" w:fill="D5E5F4" w:themeFill="accent1" w:themeFillTint="40"/>
      </w:tcPr>
    </w:tblStylePr>
    <w:tblStylePr w:type="band1Horz">
      <w:rPr>
        <w:rFonts w:ascii="Arial" w:hAnsi="Arial"/>
        <w:color w:val="245A8D" w:themeColor="accent1" w:themeShade="95"/>
        <w:sz w:val="22"/>
      </w:rPr>
      <w:tblPr/>
      <w:tcPr>
        <w:shd w:val="clear" w:color="FFFFFF"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FFFFFF"/>
      </w:tc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FFFFFF"/>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FFFFFF"/>
      </w:tc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FFFFFF"/>
      </w:tc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FFFFFF"/>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FFFFFF"/>
      </w:tcPr>
    </w:tblStylePr>
    <w:tblStylePr w:type="band1Vert">
      <w:tblPr/>
      <w:tcPr>
        <w:shd w:val="clear" w:color="FFFFFF" w:fill="CFDBF0" w:themeFill="accent5" w:themeFillTint="40"/>
      </w:tcPr>
    </w:tblStylePr>
    <w:tblStylePr w:type="band1Horz">
      <w:rPr>
        <w:rFonts w:ascii="Arial" w:hAnsi="Arial"/>
        <w:color w:val="8DA9DB" w:themeColor="accent5" w:themeTint="9A" w:themeShade="95"/>
        <w:sz w:val="22"/>
      </w:rPr>
      <w:tblPr/>
      <w:tcPr>
        <w:shd w:val="clear" w:color="FFFFFF"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FFFFFF"/>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FFFFFF"/>
      </w:tc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FFFF" w:fill="68A2D8" w:themeFill="accent1" w:themeFillTint="EA"/>
      </w:tcPr>
    </w:tblStylePr>
    <w:tblStylePr w:type="lastRow">
      <w:rPr>
        <w:rFonts w:ascii="Arial" w:hAnsi="Arial"/>
        <w:color w:val="F2F2F2"/>
        <w:sz w:val="22"/>
      </w:rPr>
      <w:tblPr/>
      <w:tcPr>
        <w:shd w:val="clear" w:color="FFFFFF" w:fill="68A2D8" w:themeFill="accent1" w:themeFillTint="EA"/>
      </w:tcPr>
    </w:tblStylePr>
    <w:tblStylePr w:type="firstCol">
      <w:rPr>
        <w:rFonts w:ascii="Arial" w:hAnsi="Arial"/>
        <w:color w:val="F2F2F2"/>
        <w:sz w:val="22"/>
      </w:rPr>
      <w:tblPr/>
      <w:tcPr>
        <w:shd w:val="clear" w:color="FFFFFF" w:fill="68A2D8" w:themeFill="accent1" w:themeFillTint="EA"/>
      </w:tcPr>
    </w:tblStylePr>
    <w:tblStylePr w:type="lastCol">
      <w:rPr>
        <w:rFonts w:ascii="Arial" w:hAnsi="Arial"/>
        <w:color w:val="F2F2F2"/>
        <w:sz w:val="22"/>
      </w:rPr>
      <w:tblPr/>
      <w:tcPr>
        <w:shd w:val="clear" w:color="FFFFFF"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BDFF1"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FFFF" w:fill="4472C4" w:themeFill="accent5"/>
      </w:tcPr>
    </w:tblStylePr>
    <w:tblStylePr w:type="lastRow">
      <w:rPr>
        <w:rFonts w:ascii="Arial" w:hAnsi="Arial"/>
        <w:color w:val="F2F2F2"/>
        <w:sz w:val="22"/>
      </w:rPr>
      <w:tblPr/>
      <w:tcPr>
        <w:shd w:val="clear" w:color="FFFFFF" w:fill="4472C4" w:themeFill="accent5"/>
      </w:tcPr>
    </w:tblStylePr>
    <w:tblStylePr w:type="firstCol">
      <w:rPr>
        <w:rFonts w:ascii="Arial" w:hAnsi="Arial"/>
        <w:color w:val="F2F2F2"/>
        <w:sz w:val="22"/>
      </w:rPr>
      <w:tblPr/>
      <w:tcPr>
        <w:shd w:val="clear" w:color="FFFFFF" w:fill="4472C4" w:themeFill="accent5"/>
      </w:tcPr>
    </w:tblStylePr>
    <w:tblStylePr w:type="lastCol">
      <w:rPr>
        <w:rFonts w:ascii="Arial" w:hAnsi="Arial"/>
        <w:color w:val="F2F2F2"/>
        <w:sz w:val="22"/>
      </w:rPr>
      <w:tblPr/>
      <w:tcPr>
        <w:shd w:val="clear" w:color="FFFFFF"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8E2F3"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eastAsia="fr-FR"/>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FFFFFF" w:fill="68A2D8" w:themeFill="accent1" w:themeFillTint="EA"/>
      </w:tcPr>
    </w:tblStylePr>
    <w:tblStylePr w:type="lastRow">
      <w:rPr>
        <w:rFonts w:ascii="Arial" w:hAnsi="Arial"/>
        <w:color w:val="F2F2F2"/>
        <w:sz w:val="22"/>
      </w:rPr>
      <w:tblPr/>
      <w:tcPr>
        <w:shd w:val="clear" w:color="FFFFFF" w:fill="68A2D8" w:themeFill="accent1" w:themeFillTint="EA"/>
      </w:tcPr>
    </w:tblStylePr>
    <w:tblStylePr w:type="firstCol">
      <w:rPr>
        <w:rFonts w:ascii="Arial" w:hAnsi="Arial"/>
        <w:color w:val="F2F2F2"/>
        <w:sz w:val="22"/>
      </w:rPr>
      <w:tblPr/>
      <w:tcPr>
        <w:shd w:val="clear" w:color="FFFFFF" w:fill="68A2D8" w:themeFill="accent1" w:themeFillTint="EA"/>
      </w:tcPr>
    </w:tblStylePr>
    <w:tblStylePr w:type="lastCol">
      <w:rPr>
        <w:rFonts w:ascii="Arial" w:hAnsi="Arial"/>
        <w:color w:val="F2F2F2"/>
        <w:sz w:val="22"/>
      </w:rPr>
      <w:tblPr/>
      <w:tcPr>
        <w:shd w:val="clear" w:color="FFFFFF"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BDFF1"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eastAsia="fr-FR"/>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FFFFFF" w:fill="4472C4" w:themeFill="accent5"/>
      </w:tcPr>
    </w:tblStylePr>
    <w:tblStylePr w:type="lastRow">
      <w:rPr>
        <w:rFonts w:ascii="Arial" w:hAnsi="Arial"/>
        <w:color w:val="F2F2F2"/>
        <w:sz w:val="22"/>
      </w:rPr>
      <w:tblPr/>
      <w:tcPr>
        <w:shd w:val="clear" w:color="FFFFFF" w:fill="4472C4" w:themeFill="accent5"/>
      </w:tcPr>
    </w:tblStylePr>
    <w:tblStylePr w:type="firstCol">
      <w:rPr>
        <w:rFonts w:ascii="Arial" w:hAnsi="Arial"/>
        <w:color w:val="F2F2F2"/>
        <w:sz w:val="22"/>
      </w:rPr>
      <w:tblPr/>
      <w:tcPr>
        <w:shd w:val="clear" w:color="FFFFFF" w:fill="4472C4" w:themeFill="accent5"/>
      </w:tcPr>
    </w:tblStylePr>
    <w:tblStylePr w:type="lastCol">
      <w:rPr>
        <w:rFonts w:ascii="Arial" w:hAnsi="Arial"/>
        <w:color w:val="F2F2F2"/>
        <w:sz w:val="22"/>
      </w:rPr>
      <w:tblPr/>
      <w:tcPr>
        <w:shd w:val="clear" w:color="FFFFFF"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8E2F3"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Lienhypertexte">
    <w:name w:val="Hyperlink"/>
    <w:uiPriority w:val="99"/>
    <w:unhideWhenUsed/>
    <w:rPr>
      <w:color w:val="0563C1" w:themeColor="hyperlink"/>
      <w:u w:val="single"/>
    </w:rPr>
  </w:style>
  <w:style w:type="paragraph" w:styleId="Notedebasdepage">
    <w:name w:val="footnote text"/>
    <w:basedOn w:val="Normal"/>
    <w:link w:val="NotedebasdepageCar"/>
    <w:uiPriority w:val="99"/>
    <w:semiHidden/>
    <w:unhideWhenUsed/>
    <w:pPr>
      <w:spacing w:after="40" w:line="240" w:lineRule="auto"/>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pPr>
      <w:spacing w:after="0" w:line="240" w:lineRule="auto"/>
    </w:pPr>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pPr>
      <w:spacing w:after="0"/>
    </w:pPr>
  </w:style>
  <w:style w:type="paragraph" w:styleId="Paragraphedeliste">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103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defense.gouv.fr/caj"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www.defense.gouv.fr/caj" TargetMode="External"/><Relationship Id="rId10" Type="http://schemas.openxmlformats.org/officeDocument/2006/relationships/image" Target="media/image10.emf"/><Relationship Id="rId4" Type="http://schemas.openxmlformats.org/officeDocument/2006/relationships/settings" Target="settings.xml"/><Relationship Id="rId14"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0</Words>
  <Characters>5</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Ministère des Armées</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CLEMENT-BOLLEE Alix ATTACHE ADM. ETAT</dc:creator>
  <cp:keywords/>
  <dc:description/>
  <cp:lastModifiedBy>CHARBONNEAUX Stéphanie ASC NIV I OA</cp:lastModifiedBy>
  <cp:revision>4</cp:revision>
  <dcterms:created xsi:type="dcterms:W3CDTF">2021-10-27T11:34:00Z</dcterms:created>
  <dcterms:modified xsi:type="dcterms:W3CDTF">2021-10-27T11:40:00Z</dcterms:modified>
</cp:coreProperties>
</file>