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8622547</wp:posOffset>
                </wp:positionV>
                <wp:extent cx="1542197" cy="901592"/>
                <wp:effectExtent l="0" t="0" r="1270" b="0"/>
                <wp:wrapNone/>
                <wp:docPr id="1" name="Image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42197" cy="90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678.9pt;mso-position-vertical:absolute;width:121.4pt;height:71.0pt;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-729673</wp:posOffset>
                </wp:positionH>
                <wp:positionV relativeFrom="paragraph">
                  <wp:posOffset>939638</wp:posOffset>
                </wp:positionV>
                <wp:extent cx="7204666" cy="8734425"/>
                <wp:effectExtent l="0" t="0" r="0" b="0"/>
                <wp:wrapNone/>
                <wp:docPr id="2" name="Rectangle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04666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29"/>
                              <w:numPr>
                                <w:ilvl w:val="0"/>
                                <w:numId w:val="7"/>
                              </w:numPr>
                              <w:jc w:val="both"/>
                              <w:spacing w:lineRule="auto" w:line="240" w:after="0"/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Préconisations réglementaires relatives aux Journées S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port Armées-Jeunesse (JSAJ) 2021/2022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, à destination des Armées, Directions et Services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du ministère des Armées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firstLine="708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À l’occasion des JSAJ qui se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ti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endront au niveau na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ti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onal entre le 10 novembre 2021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et le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31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mai 2022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: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numPr>
                                <w:ilvl w:val="0"/>
                                <w:numId w:val="6"/>
                              </w:num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il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est recommandé aux unités concernées de contracter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une assurance organisateur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en cas de manifestation hors du domaine des armées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.</w:t>
                            </w:r>
                            <w:r/>
                          </w:p>
                          <w:p>
                            <w:pPr>
                              <w:pStyle w:val="829"/>
                              <w:ind w:left="1068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numPr>
                                <w:ilvl w:val="0"/>
                                <w:numId w:val="6"/>
                              </w:num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C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onformément à l’instruction ministérielle n° 2000/DEF/EMA/SC_SOUTIEN/BPSO du 29 novembre 2012 relative aux règles d’emploi et de circulation des véhicules au sein du ministère de la Défense, disponible dans ce kit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, le transport de personnels hors défense dans des véhicules militaires exige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une assurance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responsabilité civile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numPr>
                                <w:ilvl w:val="0"/>
                                <w:numId w:val="6"/>
                              </w:num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L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a note de service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permettra la couverture du personnel du ministère des Armées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affecté à l’accompagnement des élèves s’il y en a.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6"/>
                                <w:szCs w:val="6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numPr>
                                <w:ilvl w:val="0"/>
                                <w:numId w:val="6"/>
                              </w:num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Des dispositions spécifiques concernant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la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protection défense et le soutien médical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doivent, le cas échéant,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être mis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es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en place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. 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numPr>
                                <w:ilvl w:val="0"/>
                                <w:numId w:val="7"/>
                              </w:numPr>
                              <w:jc w:val="both"/>
                              <w:spacing w:lineRule="auto" w:line="240" w:after="0"/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Programme « Aux sports jeunes citoyens ! »</w:t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Pour contribuer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à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l’h</w:t>
                            </w:r>
                            <w:bookmarkStart w:id="0" w:name="_GoBack"/>
                            <w:r/>
                            <w:bookmarkEnd w:id="0"/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éritage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de l’Etat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qui, adossé à l’organisation des Jeux Olympiques et Paralympiques (JOP) 2024, à la volonté de renforcer l’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action sociétale autour des JOP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, le ministère des A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rmées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a développé un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programme « Aux sports jeunes citoyens ! ». </w:t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Elaboré en partenariat entre la DSNJ, l’ONACVG, la FCD et le CNSD,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ce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programme 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permet de développer, au profit de la jeunesse, des actions mêlant activités sportives, pédagogiques et favorisant le travail de mémoire. </w:t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Il exploite le potentiel du sport pour transmettre les valeurs d’engagement et de cohésion qui nourrissent l’éducation citoyenne.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Ce programme propose notamment certaines ressources pédagogiques, ainsi que des conseils pour recourir à une politique de mécénat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. Autant d’actions qui peuvent aider dans la mise en place de journées sport armées-jeunesse</w:t>
                            </w: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.</w:t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829"/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  <w:t xml:space="preserve">Une boite à outils « Aux sports jeunes citoyens ! » est disponible pour détailler toutes les actions possibles.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240" w:after="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39;o:allowoverlap:true;o:allowincell:true;mso-position-horizontal-relative:text;margin-left:-57.5pt;mso-position-horizontal:absolute;mso-position-vertical-relative:text;margin-top:74.0pt;mso-position-vertical:absolute;width:567.3pt;height:687.8pt;v-text-anchor:middle;" coordsize="100000,100000" path="" filled="f" strokeweight="0.50pt">
                <v:path textboxrect="0,0,0,0"/>
                <v:textbox>
                  <w:txbxContent>
                    <w:p>
                      <w:pPr>
                        <w:pStyle w:val="829"/>
                        <w:numPr>
                          <w:ilvl w:val="0"/>
                          <w:numId w:val="7"/>
                        </w:numPr>
                        <w:jc w:val="both"/>
                        <w:spacing w:lineRule="auto" w:line="240" w:after="0"/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Préconisations réglementaires relatives aux Journées S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port Armées-Jeunesse (JSAJ) 2021/2022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, à destination des Armées, Directions et Services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du ministère des Armées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/>
                    </w:p>
                    <w:p>
                      <w:pPr>
                        <w:ind w:firstLine="708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À l’occasion des JSAJ qui se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ti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endront au niveau na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ti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onal entre le 10 novembre 2021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et le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31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mai 2022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: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r>
                      <w:r/>
                    </w:p>
                    <w:p>
                      <w:pPr>
                        <w:pStyle w:val="829"/>
                        <w:numPr>
                          <w:ilvl w:val="0"/>
                          <w:numId w:val="6"/>
                        </w:num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il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est recommandé aux unités concernées de contracter 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une assurance organisateur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en cas de manifestation hors du domaine des armées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.</w:t>
                      </w:r>
                      <w:r/>
                    </w:p>
                    <w:p>
                      <w:pPr>
                        <w:pStyle w:val="829"/>
                        <w:ind w:left="1068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r>
                      <w:r/>
                    </w:p>
                    <w:p>
                      <w:pPr>
                        <w:pStyle w:val="829"/>
                        <w:numPr>
                          <w:ilvl w:val="0"/>
                          <w:numId w:val="6"/>
                        </w:num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C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onformément à l’instruction ministérielle n° 2000/DEF/EMA/SC_SOUTIEN/BPSO du 29 novembre 2012 relative aux règles d’emploi et de circulation des véhicules au sein du ministère de la Défense, disponible dans ce kit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, le transport de personnels hors défense dans des véhicules militaires exige 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une assurance 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de 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responsabilité civile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r>
                      <w:r/>
                    </w:p>
                    <w:p>
                      <w:pPr>
                        <w:pStyle w:val="829"/>
                        <w:numPr>
                          <w:ilvl w:val="0"/>
                          <w:numId w:val="6"/>
                        </w:num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L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a note de service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permettra la couverture du personnel du ministère des Armées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affecté à l’accompagnement des élèves s’il y en a. 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cs="Calibri"/>
                          <w:color w:val="000000"/>
                          <w:sz w:val="6"/>
                          <w:szCs w:val="6"/>
                        </w:rPr>
                      </w:r>
                      <w:r/>
                    </w:p>
                    <w:p>
                      <w:pPr>
                        <w:pStyle w:val="829"/>
                        <w:numPr>
                          <w:ilvl w:val="0"/>
                          <w:numId w:val="6"/>
                        </w:num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Des dispositions spécifiques concernant 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la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protection défense et le soutien médical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doivent, le cas échéant,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être mis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es</w:t>
                      </w: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 en place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.  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pStyle w:val="829"/>
                        <w:numPr>
                          <w:ilvl w:val="0"/>
                          <w:numId w:val="7"/>
                        </w:numPr>
                        <w:jc w:val="both"/>
                        <w:spacing w:lineRule="auto" w:line="240" w:after="0"/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3"/>
                          <w:szCs w:val="23"/>
                        </w:rPr>
                        <w:t xml:space="preserve">Programme « Aux sports jeunes citoyens ! »</w:t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Pour contribuer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à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l’h</w:t>
                      </w:r>
                      <w:bookmarkStart w:id="0" w:name="_GoBack"/>
                      <w:r/>
                      <w:bookmarkEnd w:id="0"/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éritage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de l’Etat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qui, adossé à l’organisation des Jeux Olympiques et Paralympiques (JOP) 2024, à la volonté de renforcer l’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action sociétale autour des JOP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, le ministère des A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rmées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a développé un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programme « Aux sports jeunes citoyens ! ». </w:t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Elaboré en partenariat entre la DSNJ, l’ONACVG, la FCD et le CNSD,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ce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programme 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permet de développer, au profit de la jeunesse, des actions mêlant activités sportives, pédagogiques et favorisant le travail de mémoire. </w:t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Il exploite le potentiel du sport pour transmettre les valeurs d’engagement et de cohésion qui nourrissent l’éducation citoyenne.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Ce programme propose notamment certaines ressources pédagogiques, ainsi que des conseils pour recourir à une politique de mécénat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. Autant d’actions qui peuvent aider dans la mise en place de journées sport armées-jeunesse</w:t>
                      </w: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.</w:t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color w:val="000000"/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829"/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  <w:t xml:space="preserve">Une boite à outils « Aux sports jeunes citoyens ! » est disponible pour détailler toutes les actions possibles.</w:t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240" w:after="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-974223</wp:posOffset>
                </wp:positionH>
                <wp:positionV relativeFrom="paragraph">
                  <wp:posOffset>-431962</wp:posOffset>
                </wp:positionV>
                <wp:extent cx="7778115" cy="1095153"/>
                <wp:effectExtent l="0" t="0" r="13335" b="10160"/>
                <wp:wrapNone/>
                <wp:docPr id="3" name="Rectangle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78115" cy="109515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425"/>
                              <w:spacing w:after="1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Journées Sports Armées-J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eunesse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21/2022</w:t>
                            </w:r>
                            <w:r/>
                          </w:p>
                          <w:p>
                            <w:pPr>
                              <w:ind w:left="425"/>
                              <w:spacing w:after="1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Préconisations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d’organisation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57214;o:allowoverlap:true;o:allowincell:true;mso-position-horizontal-relative:text;margin-left:-76.7pt;mso-position-horizontal:absolute;mso-position-vertical-relative:text;margin-top:-34.0pt;mso-position-vertical:absolute;width:612.4pt;height:86.2pt;v-text-anchor:middle;" coordsize="100000,100000" path="" fillcolor="#002060" strokecolor="#2D4D6A" strokeweight="1.00pt">
                <v:path textboxrect="0,0,0,0"/>
                <v:textbox>
                  <w:txbxContent>
                    <w:p>
                      <w:pPr>
                        <w:ind w:left="425"/>
                        <w:spacing w:after="1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Journées Sports Armées-J</w:t>
                      </w:r>
                      <w:r>
                        <w:rPr>
                          <w:sz w:val="40"/>
                          <w:szCs w:val="40"/>
                        </w:rPr>
                        <w:t xml:space="preserve">eunesse </w:t>
                      </w:r>
                      <w:r>
                        <w:rPr>
                          <w:sz w:val="40"/>
                          <w:szCs w:val="40"/>
                        </w:rPr>
                        <w:t xml:space="preserve">20</w:t>
                      </w:r>
                      <w:r>
                        <w:rPr>
                          <w:sz w:val="40"/>
                          <w:szCs w:val="40"/>
                        </w:rPr>
                        <w:t xml:space="preserve">21/2022</w:t>
                      </w:r>
                      <w:r/>
                    </w:p>
                    <w:p>
                      <w:pPr>
                        <w:ind w:left="425"/>
                        <w:spacing w:after="1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Préconisations </w:t>
                      </w:r>
                      <w:r>
                        <w:rPr>
                          <w:sz w:val="40"/>
                          <w:szCs w:val="40"/>
                        </w:rPr>
                        <w:t xml:space="preserve">d’organisation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-296383</wp:posOffset>
                </wp:positionV>
                <wp:extent cx="1404988" cy="763802"/>
                <wp:effectExtent l="190500" t="171450" r="176530" b="170180"/>
                <wp:wrapNone/>
                <wp:docPr id="4" name="Image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404988" cy="7638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1312;o:allowoverlap:true;o:allowincell:true;mso-position-horizontal-relative:margin;margin-left:402.8pt;mso-position-horizontal:absolute;mso-position-vertical-relative:text;margin-top:-23.3pt;mso-position-vertical:absolute;width:110.6pt;height:60.1pt;">
                <v:path textboxrect="0,0,0,0"/>
                <v:imagedata r:id="rId11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5"/>
    <w:next w:val="825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6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5"/>
    <w:next w:val="825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6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5"/>
    <w:next w:val="825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6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5"/>
    <w:next w:val="825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6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5"/>
    <w:next w:val="825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6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5"/>
    <w:next w:val="825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6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5"/>
    <w:next w:val="825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6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5"/>
    <w:next w:val="825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6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5"/>
    <w:next w:val="825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6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5"/>
    <w:next w:val="825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6"/>
    <w:link w:val="667"/>
    <w:uiPriority w:val="10"/>
    <w:rPr>
      <w:sz w:val="48"/>
      <w:szCs w:val="48"/>
    </w:rPr>
  </w:style>
  <w:style w:type="paragraph" w:styleId="669">
    <w:name w:val="Subtitle"/>
    <w:basedOn w:val="825"/>
    <w:next w:val="825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6"/>
    <w:link w:val="669"/>
    <w:uiPriority w:val="11"/>
    <w:rPr>
      <w:sz w:val="24"/>
      <w:szCs w:val="24"/>
    </w:rPr>
  </w:style>
  <w:style w:type="paragraph" w:styleId="671">
    <w:name w:val="Quote"/>
    <w:basedOn w:val="825"/>
    <w:next w:val="825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5"/>
    <w:next w:val="825"/>
    <w:link w:val="6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5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Header Char"/>
    <w:basedOn w:val="826"/>
    <w:link w:val="675"/>
    <w:uiPriority w:val="99"/>
  </w:style>
  <w:style w:type="paragraph" w:styleId="677">
    <w:name w:val="Footer"/>
    <w:basedOn w:val="825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6"/>
    <w:link w:val="677"/>
    <w:uiPriority w:val="99"/>
  </w:style>
  <w:style w:type="paragraph" w:styleId="679">
    <w:name w:val="Caption"/>
    <w:basedOn w:val="825"/>
    <w:next w:val="8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1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2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3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4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5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6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4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5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6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7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8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9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0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List Paragraph"/>
    <w:basedOn w:val="82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emf"/><Relationship Id="rId11" Type="http://schemas.openxmlformats.org/officeDocument/2006/relationships/image" Target="media/image2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Ministère des Armées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CLEMENT-BOLLEE Alix ATTACHE ADM. ETAT</dc:creator>
  <cp:keywords/>
  <dc:description/>
  <cp:lastModifiedBy>Jean Planchon_</cp:lastModifiedBy>
  <cp:revision>4</cp:revision>
  <dcterms:created xsi:type="dcterms:W3CDTF">2021-08-04T09:42:00Z</dcterms:created>
  <dcterms:modified xsi:type="dcterms:W3CDTF">2021-10-18T13:01:45Z</dcterms:modified>
</cp:coreProperties>
</file>