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2F" w:rsidRDefault="00CF6F2F">
      <w:bookmarkStart w:id="0" w:name="_GoBack"/>
      <w:bookmarkEnd w:id="0"/>
    </w:p>
    <w:p w:rsidR="00831711" w:rsidRDefault="00831711"/>
    <w:p w:rsidR="00CF6F2F" w:rsidRDefault="007372CC" w:rsidP="00B57D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u w:val="single"/>
        </w:rPr>
      </w:pPr>
      <w:r w:rsidRPr="007372CC">
        <w:rPr>
          <w:b/>
          <w:bCs/>
          <w:u w:val="single"/>
        </w:rPr>
        <w:t>DOCUMENT</w:t>
      </w:r>
      <w:r w:rsidR="00CF6F2F">
        <w:rPr>
          <w:b/>
          <w:bCs/>
          <w:u w:val="single"/>
        </w:rPr>
        <w:t>S DE REFERENCE</w:t>
      </w:r>
      <w:r w:rsidR="00CF6F2F" w:rsidRPr="007372CC">
        <w:rPr>
          <w:b/>
          <w:bCs/>
        </w:rPr>
        <w:t> :</w:t>
      </w:r>
    </w:p>
    <w:p w:rsidR="00883C34" w:rsidRPr="00CA6A0D" w:rsidRDefault="00CF6F2F" w:rsidP="00B57D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-Roman" w:hAnsi="Times-Roman" w:cs="Times-Roman"/>
          <w:sz w:val="19"/>
          <w:szCs w:val="19"/>
        </w:rPr>
      </w:pPr>
      <w:r w:rsidRPr="00FA3EBD">
        <w:rPr>
          <w:rFonts w:ascii="Times-Roman" w:hAnsi="Times-Roman" w:cs="Times-Roman"/>
          <w:sz w:val="19"/>
          <w:szCs w:val="19"/>
        </w:rPr>
        <w:t xml:space="preserve">- </w:t>
      </w:r>
      <w:r w:rsidR="00BF37EF" w:rsidRPr="00CA6A0D">
        <w:rPr>
          <w:rFonts w:ascii="Times-Roman" w:hAnsi="Times-Roman" w:cs="Times-Roman"/>
          <w:sz w:val="19"/>
          <w:szCs w:val="19"/>
        </w:rPr>
        <w:t>IM 6000/ARM/DCSEA/SDO2 relative à l’exploitation (approvisionnement, stockage et distribution des carburants par le SEA</w:t>
      </w:r>
      <w:r w:rsidR="00B1086B" w:rsidRPr="00CA6A0D">
        <w:rPr>
          <w:rFonts w:ascii="Times-Roman" w:hAnsi="Times-Roman" w:cs="Times-Roman"/>
          <w:sz w:val="19"/>
          <w:szCs w:val="19"/>
        </w:rPr>
        <w:t>)</w:t>
      </w:r>
      <w:r w:rsidR="00BF37EF" w:rsidRPr="00CA6A0D">
        <w:rPr>
          <w:rFonts w:ascii="Times-Roman" w:hAnsi="Times-Roman" w:cs="Times-Roman"/>
          <w:sz w:val="19"/>
          <w:szCs w:val="19"/>
        </w:rPr>
        <w:t xml:space="preserve"> du 13 juillet 2018.</w:t>
      </w:r>
    </w:p>
    <w:p w:rsidR="00D72429" w:rsidRPr="00CC78FF" w:rsidRDefault="00CA6A0D" w:rsidP="00A43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-Roman" w:hAnsi="Times-Roman" w:cs="Times-Roman"/>
          <w:color w:val="C00000"/>
          <w:sz w:val="19"/>
          <w:szCs w:val="19"/>
        </w:rPr>
      </w:pPr>
      <w:r w:rsidRPr="00CA6A0D">
        <w:rPr>
          <w:rFonts w:ascii="Times-Roman" w:hAnsi="Times-Roman" w:cs="Times-Roman"/>
          <w:sz w:val="19"/>
          <w:szCs w:val="19"/>
        </w:rPr>
        <w:t>-</w:t>
      </w:r>
      <w:r>
        <w:rPr>
          <w:rFonts w:ascii="Times-Roman" w:hAnsi="Times-Roman" w:cs="Times-Roman"/>
          <w:color w:val="C00000"/>
          <w:sz w:val="19"/>
          <w:szCs w:val="19"/>
        </w:rPr>
        <w:t xml:space="preserve"> </w:t>
      </w:r>
      <w:hyperlink r:id="rId8" w:tooltip="Cliquer pour actualiser le document" w:history="1">
        <w:r>
          <w:rPr>
            <w:rStyle w:val="Lienhypertexte"/>
          </w:rPr>
          <w:t>NOTE-PROD-01</w:t>
        </w:r>
      </w:hyperlink>
      <w:r w:rsidR="00791F48">
        <w:rPr>
          <w:rStyle w:val="freedomtextbigtitle"/>
        </w:rPr>
        <w:t xml:space="preserve"> : </w:t>
      </w:r>
      <w:r w:rsidR="00791F48" w:rsidRPr="00CA6A0D">
        <w:rPr>
          <w:rFonts w:ascii="Times-Roman" w:hAnsi="Times-Roman" w:cs="Times-Roman"/>
          <w:sz w:val="19"/>
          <w:szCs w:val="19"/>
        </w:rPr>
        <w:t>Note sur la durée de conservation des informations documentées relatives à l’exploitation pétrolière</w:t>
      </w:r>
      <w:r w:rsidR="00B57D0B" w:rsidRPr="00CA6A0D">
        <w:rPr>
          <w:rFonts w:ascii="Times-Roman" w:hAnsi="Times-Roman" w:cs="Times-Roman"/>
          <w:sz w:val="19"/>
          <w:szCs w:val="19"/>
        </w:rPr>
        <w:t xml:space="preserve"> </w:t>
      </w:r>
    </w:p>
    <w:p w:rsidR="00A438B2" w:rsidRPr="00A438B2" w:rsidRDefault="00A438B2" w:rsidP="00A43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CF6F2F" w:rsidRDefault="00CF6F2F" w:rsidP="00B57D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</w:rPr>
      </w:pPr>
    </w:p>
    <w:p w:rsidR="00CF6F2F" w:rsidRDefault="00CF6F2F">
      <w:pPr>
        <w:jc w:val="center"/>
      </w:pPr>
    </w:p>
    <w:p w:rsidR="00CF6F2F" w:rsidRDefault="00CF6F2F">
      <w:pPr>
        <w:jc w:val="center"/>
      </w:pPr>
    </w:p>
    <w:p w:rsidR="00831711" w:rsidRDefault="00831711">
      <w:pPr>
        <w:jc w:val="center"/>
      </w:pPr>
    </w:p>
    <w:p w:rsidR="00397FD0" w:rsidRPr="00883C34" w:rsidRDefault="00473FD4" w:rsidP="00397FD0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DOCUMENT</w:t>
      </w:r>
      <w:r w:rsidR="00D54D93">
        <w:rPr>
          <w:b/>
          <w:bCs/>
          <w:u w:val="single"/>
        </w:rPr>
        <w:t>(</w:t>
      </w:r>
      <w:r>
        <w:rPr>
          <w:b/>
          <w:bCs/>
          <w:u w:val="single"/>
        </w:rPr>
        <w:t>S</w:t>
      </w:r>
      <w:r w:rsidR="00D54D93">
        <w:rPr>
          <w:b/>
          <w:bCs/>
          <w:u w:val="single"/>
        </w:rPr>
        <w:t>)</w:t>
      </w:r>
      <w:r>
        <w:rPr>
          <w:b/>
          <w:bCs/>
          <w:u w:val="single"/>
        </w:rPr>
        <w:t xml:space="preserve"> </w:t>
      </w:r>
      <w:r w:rsidR="00B57E0B">
        <w:rPr>
          <w:b/>
          <w:bCs/>
          <w:u w:val="single"/>
        </w:rPr>
        <w:t>ABROGE</w:t>
      </w:r>
      <w:r w:rsidR="00D54D93">
        <w:rPr>
          <w:b/>
          <w:bCs/>
          <w:u w:val="single"/>
        </w:rPr>
        <w:t>(</w:t>
      </w:r>
      <w:r>
        <w:rPr>
          <w:b/>
          <w:bCs/>
          <w:u w:val="single"/>
        </w:rPr>
        <w:t>S</w:t>
      </w:r>
      <w:r w:rsidR="00D54D93">
        <w:rPr>
          <w:b/>
          <w:bCs/>
          <w:u w:val="single"/>
        </w:rPr>
        <w:t>)</w:t>
      </w:r>
      <w:r w:rsidR="00B57E0B" w:rsidRPr="007372CC">
        <w:rPr>
          <w:b/>
          <w:bCs/>
        </w:rPr>
        <w:t> </w:t>
      </w:r>
      <w:r w:rsidR="00A831AD" w:rsidRPr="007372CC">
        <w:rPr>
          <w:b/>
          <w:bCs/>
        </w:rPr>
        <w:t>:</w:t>
      </w:r>
      <w:r w:rsidR="00A831AD">
        <w:rPr>
          <w:b/>
          <w:bCs/>
        </w:rPr>
        <w:t xml:space="preserve"> Néant</w:t>
      </w:r>
      <w:r w:rsidR="001F6622">
        <w:rPr>
          <w:b/>
          <w:bCs/>
        </w:rPr>
        <w:t xml:space="preserve"> </w:t>
      </w:r>
    </w:p>
    <w:p w:rsidR="00CF6F2F" w:rsidRDefault="00CF6F2F">
      <w:pPr>
        <w:jc w:val="center"/>
      </w:pPr>
    </w:p>
    <w:p w:rsidR="00CF6F2F" w:rsidRDefault="00CF6F2F">
      <w:pPr>
        <w:jc w:val="center"/>
      </w:pPr>
    </w:p>
    <w:p w:rsidR="00831711" w:rsidRDefault="00831711">
      <w:pPr>
        <w:jc w:val="center"/>
      </w:pPr>
    </w:p>
    <w:p w:rsidR="00CF6F2F" w:rsidRDefault="00CF6F2F">
      <w:pPr>
        <w:pStyle w:val="Titre4"/>
      </w:pPr>
      <w:r>
        <w:t>SOMMAIRE</w:t>
      </w:r>
    </w:p>
    <w:p w:rsidR="00CF6F2F" w:rsidRPr="003B2397" w:rsidRDefault="00CF6F2F">
      <w:pPr>
        <w:jc w:val="center"/>
      </w:pPr>
    </w:p>
    <w:p w:rsidR="00F20667" w:rsidRDefault="00050158">
      <w:pPr>
        <w:pStyle w:val="TM1"/>
        <w:rPr>
          <w:rFonts w:asciiTheme="minorHAnsi" w:eastAsiaTheme="minorEastAsia" w:hAnsiTheme="minorHAnsi" w:cstheme="minorBidi"/>
        </w:rPr>
      </w:pPr>
      <w:r w:rsidRPr="003B2397">
        <w:fldChar w:fldCharType="begin"/>
      </w:r>
      <w:r w:rsidRPr="003B2397">
        <w:instrText xml:space="preserve"> TOC \o "1-1" \h \z </w:instrText>
      </w:r>
      <w:r w:rsidRPr="003B2397">
        <w:fldChar w:fldCharType="separate"/>
      </w:r>
      <w:hyperlink w:anchor="_Toc40127415" w:history="1">
        <w:r w:rsidR="00F20667" w:rsidRPr="00A07432">
          <w:rPr>
            <w:rStyle w:val="Lienhypertexte"/>
          </w:rPr>
          <w:t>1</w:t>
        </w:r>
        <w:r w:rsidR="00F20667">
          <w:rPr>
            <w:rFonts w:asciiTheme="minorHAnsi" w:eastAsiaTheme="minorEastAsia" w:hAnsiTheme="minorHAnsi" w:cstheme="minorBidi"/>
          </w:rPr>
          <w:tab/>
        </w:r>
        <w:r w:rsidR="00F20667" w:rsidRPr="00A07432">
          <w:rPr>
            <w:rStyle w:val="Lienhypertexte"/>
          </w:rPr>
          <w:t>OBJECTIF</w:t>
        </w:r>
        <w:r w:rsidR="00F20667">
          <w:rPr>
            <w:webHidden/>
          </w:rPr>
          <w:tab/>
        </w:r>
        <w:r w:rsidR="00F20667">
          <w:rPr>
            <w:webHidden/>
          </w:rPr>
          <w:fldChar w:fldCharType="begin"/>
        </w:r>
        <w:r w:rsidR="00F20667">
          <w:rPr>
            <w:webHidden/>
          </w:rPr>
          <w:instrText xml:space="preserve"> PAGEREF _Toc40127415 \h </w:instrText>
        </w:r>
        <w:r w:rsidR="00F20667">
          <w:rPr>
            <w:webHidden/>
          </w:rPr>
        </w:r>
        <w:r w:rsidR="00F20667">
          <w:rPr>
            <w:webHidden/>
          </w:rPr>
          <w:fldChar w:fldCharType="separate"/>
        </w:r>
        <w:r w:rsidR="00F20667">
          <w:rPr>
            <w:webHidden/>
          </w:rPr>
          <w:t>2</w:t>
        </w:r>
        <w:r w:rsidR="00F20667">
          <w:rPr>
            <w:webHidden/>
          </w:rPr>
          <w:fldChar w:fldCharType="end"/>
        </w:r>
      </w:hyperlink>
    </w:p>
    <w:p w:rsidR="00F20667" w:rsidRDefault="003E6124">
      <w:pPr>
        <w:pStyle w:val="TM1"/>
        <w:rPr>
          <w:rFonts w:asciiTheme="minorHAnsi" w:eastAsiaTheme="minorEastAsia" w:hAnsiTheme="minorHAnsi" w:cstheme="minorBidi"/>
        </w:rPr>
      </w:pPr>
      <w:hyperlink w:anchor="_Toc40127416" w:history="1">
        <w:r w:rsidR="00F20667" w:rsidRPr="00A07432">
          <w:rPr>
            <w:rStyle w:val="Lienhypertexte"/>
          </w:rPr>
          <w:t>2</w:t>
        </w:r>
        <w:r w:rsidR="00F20667">
          <w:rPr>
            <w:rFonts w:asciiTheme="minorHAnsi" w:eastAsiaTheme="minorEastAsia" w:hAnsiTheme="minorHAnsi" w:cstheme="minorBidi"/>
          </w:rPr>
          <w:tab/>
        </w:r>
        <w:r w:rsidR="00F20667" w:rsidRPr="00A07432">
          <w:rPr>
            <w:rStyle w:val="Lienhypertexte"/>
          </w:rPr>
          <w:t>CHAMP D’APPLICATION</w:t>
        </w:r>
        <w:r w:rsidR="00F20667">
          <w:rPr>
            <w:webHidden/>
          </w:rPr>
          <w:tab/>
        </w:r>
        <w:r w:rsidR="00F20667">
          <w:rPr>
            <w:webHidden/>
          </w:rPr>
          <w:fldChar w:fldCharType="begin"/>
        </w:r>
        <w:r w:rsidR="00F20667">
          <w:rPr>
            <w:webHidden/>
          </w:rPr>
          <w:instrText xml:space="preserve"> PAGEREF _Toc40127416 \h </w:instrText>
        </w:r>
        <w:r w:rsidR="00F20667">
          <w:rPr>
            <w:webHidden/>
          </w:rPr>
        </w:r>
        <w:r w:rsidR="00F20667">
          <w:rPr>
            <w:webHidden/>
          </w:rPr>
          <w:fldChar w:fldCharType="separate"/>
        </w:r>
        <w:r w:rsidR="00F20667">
          <w:rPr>
            <w:webHidden/>
          </w:rPr>
          <w:t>2</w:t>
        </w:r>
        <w:r w:rsidR="00F20667">
          <w:rPr>
            <w:webHidden/>
          </w:rPr>
          <w:fldChar w:fldCharType="end"/>
        </w:r>
      </w:hyperlink>
    </w:p>
    <w:p w:rsidR="00F20667" w:rsidRDefault="003E6124">
      <w:pPr>
        <w:pStyle w:val="TM1"/>
        <w:rPr>
          <w:rFonts w:asciiTheme="minorHAnsi" w:eastAsiaTheme="minorEastAsia" w:hAnsiTheme="minorHAnsi" w:cstheme="minorBidi"/>
        </w:rPr>
      </w:pPr>
      <w:hyperlink w:anchor="_Toc40127417" w:history="1">
        <w:r w:rsidR="00F20667" w:rsidRPr="00A07432">
          <w:rPr>
            <w:rStyle w:val="Lienhypertexte"/>
          </w:rPr>
          <w:t>3</w:t>
        </w:r>
        <w:r w:rsidR="00F20667">
          <w:rPr>
            <w:rFonts w:asciiTheme="minorHAnsi" w:eastAsiaTheme="minorEastAsia" w:hAnsiTheme="minorHAnsi" w:cstheme="minorBidi"/>
          </w:rPr>
          <w:tab/>
        </w:r>
        <w:r w:rsidR="00F20667" w:rsidRPr="00A07432">
          <w:rPr>
            <w:rStyle w:val="Lienhypertexte"/>
          </w:rPr>
          <w:t>DÉFINITION</w:t>
        </w:r>
        <w:r w:rsidR="00F20667">
          <w:rPr>
            <w:webHidden/>
          </w:rPr>
          <w:tab/>
        </w:r>
        <w:r w:rsidR="00F20667">
          <w:rPr>
            <w:webHidden/>
          </w:rPr>
          <w:fldChar w:fldCharType="begin"/>
        </w:r>
        <w:r w:rsidR="00F20667">
          <w:rPr>
            <w:webHidden/>
          </w:rPr>
          <w:instrText xml:space="preserve"> PAGEREF _Toc40127417 \h </w:instrText>
        </w:r>
        <w:r w:rsidR="00F20667">
          <w:rPr>
            <w:webHidden/>
          </w:rPr>
        </w:r>
        <w:r w:rsidR="00F20667">
          <w:rPr>
            <w:webHidden/>
          </w:rPr>
          <w:fldChar w:fldCharType="separate"/>
        </w:r>
        <w:r w:rsidR="00F20667">
          <w:rPr>
            <w:webHidden/>
          </w:rPr>
          <w:t>2</w:t>
        </w:r>
        <w:r w:rsidR="00F20667">
          <w:rPr>
            <w:webHidden/>
          </w:rPr>
          <w:fldChar w:fldCharType="end"/>
        </w:r>
      </w:hyperlink>
    </w:p>
    <w:p w:rsidR="00F20667" w:rsidRDefault="003E6124">
      <w:pPr>
        <w:pStyle w:val="TM1"/>
        <w:rPr>
          <w:rFonts w:asciiTheme="minorHAnsi" w:eastAsiaTheme="minorEastAsia" w:hAnsiTheme="minorHAnsi" w:cstheme="minorBidi"/>
        </w:rPr>
      </w:pPr>
      <w:hyperlink w:anchor="_Toc40127418" w:history="1">
        <w:r w:rsidR="00F20667" w:rsidRPr="00A07432">
          <w:rPr>
            <w:rStyle w:val="Lienhypertexte"/>
          </w:rPr>
          <w:t>4</w:t>
        </w:r>
        <w:r w:rsidR="00F20667">
          <w:rPr>
            <w:rFonts w:asciiTheme="minorHAnsi" w:eastAsiaTheme="minorEastAsia" w:hAnsiTheme="minorHAnsi" w:cstheme="minorBidi"/>
          </w:rPr>
          <w:tab/>
        </w:r>
        <w:r w:rsidR="00F20667" w:rsidRPr="00A07432">
          <w:rPr>
            <w:rStyle w:val="Lienhypertexte"/>
          </w:rPr>
          <w:t>MODALITÉS</w:t>
        </w:r>
        <w:r w:rsidR="00F20667">
          <w:rPr>
            <w:webHidden/>
          </w:rPr>
          <w:tab/>
        </w:r>
        <w:r w:rsidR="00F20667">
          <w:rPr>
            <w:webHidden/>
          </w:rPr>
          <w:fldChar w:fldCharType="begin"/>
        </w:r>
        <w:r w:rsidR="00F20667">
          <w:rPr>
            <w:webHidden/>
          </w:rPr>
          <w:instrText xml:space="preserve"> PAGEREF _Toc40127418 \h </w:instrText>
        </w:r>
        <w:r w:rsidR="00F20667">
          <w:rPr>
            <w:webHidden/>
          </w:rPr>
        </w:r>
        <w:r w:rsidR="00F20667">
          <w:rPr>
            <w:webHidden/>
          </w:rPr>
          <w:fldChar w:fldCharType="separate"/>
        </w:r>
        <w:r w:rsidR="00F20667">
          <w:rPr>
            <w:webHidden/>
          </w:rPr>
          <w:t>2</w:t>
        </w:r>
        <w:r w:rsidR="00F20667">
          <w:rPr>
            <w:webHidden/>
          </w:rPr>
          <w:fldChar w:fldCharType="end"/>
        </w:r>
      </w:hyperlink>
    </w:p>
    <w:p w:rsidR="00F20667" w:rsidRDefault="003E6124">
      <w:pPr>
        <w:pStyle w:val="TM1"/>
        <w:rPr>
          <w:rFonts w:asciiTheme="minorHAnsi" w:eastAsiaTheme="minorEastAsia" w:hAnsiTheme="minorHAnsi" w:cstheme="minorBidi"/>
        </w:rPr>
      </w:pPr>
      <w:hyperlink w:anchor="_Toc40127419" w:history="1">
        <w:r w:rsidR="00F20667" w:rsidRPr="00A07432">
          <w:rPr>
            <w:rStyle w:val="Lienhypertexte"/>
          </w:rPr>
          <w:t>5</w:t>
        </w:r>
        <w:r w:rsidR="00F20667">
          <w:rPr>
            <w:rFonts w:asciiTheme="minorHAnsi" w:eastAsiaTheme="minorEastAsia" w:hAnsiTheme="minorHAnsi" w:cstheme="minorBidi"/>
          </w:rPr>
          <w:tab/>
        </w:r>
        <w:r w:rsidR="00F20667" w:rsidRPr="00A07432">
          <w:rPr>
            <w:rStyle w:val="Lienhypertexte"/>
          </w:rPr>
          <w:t>ENREGISTREMENTS</w:t>
        </w:r>
        <w:r w:rsidR="00F20667">
          <w:rPr>
            <w:webHidden/>
          </w:rPr>
          <w:tab/>
        </w:r>
        <w:r w:rsidR="00F20667">
          <w:rPr>
            <w:webHidden/>
          </w:rPr>
          <w:fldChar w:fldCharType="begin"/>
        </w:r>
        <w:r w:rsidR="00F20667">
          <w:rPr>
            <w:webHidden/>
          </w:rPr>
          <w:instrText xml:space="preserve"> PAGEREF _Toc40127419 \h </w:instrText>
        </w:r>
        <w:r w:rsidR="00F20667">
          <w:rPr>
            <w:webHidden/>
          </w:rPr>
        </w:r>
        <w:r w:rsidR="00F20667">
          <w:rPr>
            <w:webHidden/>
          </w:rPr>
          <w:fldChar w:fldCharType="separate"/>
        </w:r>
        <w:r w:rsidR="00F20667">
          <w:rPr>
            <w:webHidden/>
          </w:rPr>
          <w:t>4</w:t>
        </w:r>
        <w:r w:rsidR="00F20667">
          <w:rPr>
            <w:webHidden/>
          </w:rPr>
          <w:fldChar w:fldCharType="end"/>
        </w:r>
      </w:hyperlink>
    </w:p>
    <w:p w:rsidR="00CD28F6" w:rsidRDefault="00050158" w:rsidP="00050158">
      <w:r w:rsidRPr="003B2397">
        <w:fldChar w:fldCharType="end"/>
      </w:r>
    </w:p>
    <w:p w:rsidR="00831711" w:rsidRDefault="00831711" w:rsidP="00CD28F6">
      <w:pPr>
        <w:jc w:val="center"/>
      </w:pPr>
    </w:p>
    <w:p w:rsidR="00CD28F6" w:rsidRDefault="00CD28F6" w:rsidP="00CD28F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DOCUMENTS GENERES</w:t>
      </w:r>
      <w:r w:rsidRPr="007372CC">
        <w:rPr>
          <w:b/>
          <w:bCs/>
        </w:rPr>
        <w:t> :</w:t>
      </w:r>
    </w:p>
    <w:p w:rsidR="00405ED5" w:rsidRDefault="00CD28F6" w:rsidP="0017619F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</w:pPr>
      <w:r>
        <w:t xml:space="preserve">- </w:t>
      </w:r>
      <w:r w:rsidR="00E242E5">
        <w:t>Modèle BMR (informations complémentaires)</w:t>
      </w:r>
    </w:p>
    <w:p w:rsidR="0017619F" w:rsidRPr="00CA6A0D" w:rsidRDefault="0017619F" w:rsidP="0017619F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iCs/>
          <w:color w:val="FF0000"/>
        </w:rPr>
      </w:pPr>
      <w:r>
        <w:t>-</w:t>
      </w:r>
      <w:r w:rsidR="00B1086B">
        <w:t xml:space="preserve"> </w:t>
      </w:r>
      <w:hyperlink r:id="rId9" w:tooltip="Cliquer pour actualiser le document" w:history="1">
        <w:r w:rsidR="00CA6A0D">
          <w:rPr>
            <w:rStyle w:val="Lienhypertexte"/>
          </w:rPr>
          <w:t>FORM-PROD/DISRE-11</w:t>
        </w:r>
      </w:hyperlink>
      <w:r w:rsidR="00CA6A0D">
        <w:rPr>
          <w:rStyle w:val="freedomtextbigtitle"/>
        </w:rPr>
        <w:t xml:space="preserve"> </w:t>
      </w:r>
      <w:r w:rsidR="004E7563" w:rsidRPr="00CA6A0D">
        <w:t>:</w:t>
      </w:r>
      <w:r w:rsidRPr="00CA6A0D">
        <w:t xml:space="preserve"> </w:t>
      </w:r>
      <w:r w:rsidR="00B1086B" w:rsidRPr="00CA6A0D">
        <w:t>Formulaire de saisi pour les UR sans TN</w:t>
      </w:r>
      <w:r w:rsidR="00E242E5" w:rsidRPr="00CA6A0D">
        <w:t> </w:t>
      </w:r>
      <w:r w:rsidR="00BF37EF" w:rsidRPr="00CA6A0D">
        <w:t>[</w:t>
      </w:r>
      <w:r w:rsidR="00752B9B" w:rsidRPr="00CA6A0D">
        <w:t xml:space="preserve">Pour les clients hors MINARM, </w:t>
      </w:r>
      <w:r w:rsidR="00BF37EF" w:rsidRPr="00CA6A0D">
        <w:t xml:space="preserve">ce fichier </w:t>
      </w:r>
      <w:r w:rsidR="00752B9B" w:rsidRPr="00CA6A0D">
        <w:t>est disponible sur le site internet du SEA]</w:t>
      </w:r>
    </w:p>
    <w:p w:rsidR="007372CC" w:rsidRDefault="007372CC">
      <w:pPr>
        <w:jc w:val="center"/>
      </w:pPr>
    </w:p>
    <w:p w:rsidR="00831711" w:rsidRDefault="00831711">
      <w:pPr>
        <w:jc w:val="center"/>
      </w:pPr>
    </w:p>
    <w:p w:rsidR="00CF6F2F" w:rsidRDefault="00CF6F2F">
      <w:pPr>
        <w:jc w:val="center"/>
      </w:pPr>
    </w:p>
    <w:p w:rsidR="007372CC" w:rsidRDefault="007372CC" w:rsidP="0073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4656B">
        <w:rPr>
          <w:b/>
          <w:bCs/>
          <w:u w:val="single"/>
        </w:rPr>
        <w:t>ANNEXE</w:t>
      </w:r>
      <w:r w:rsidR="00CB479B" w:rsidRPr="00310F67">
        <w:rPr>
          <w:b/>
          <w:bCs/>
          <w:u w:val="single"/>
        </w:rPr>
        <w:t> </w:t>
      </w:r>
      <w:r w:rsidR="00CB479B">
        <w:rPr>
          <w:b/>
          <w:bCs/>
        </w:rPr>
        <w:t>:</w:t>
      </w:r>
      <w:r w:rsidR="00B57D0B">
        <w:rPr>
          <w:b/>
          <w:bCs/>
        </w:rPr>
        <w:t xml:space="preserve"> </w:t>
      </w:r>
    </w:p>
    <w:p w:rsidR="00B57D0B" w:rsidRPr="00CC78FF" w:rsidRDefault="00B57D0B" w:rsidP="0073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C78FF">
        <w:t>-</w:t>
      </w:r>
      <w:r w:rsidR="0017619F" w:rsidRPr="00CC78FF">
        <w:t xml:space="preserve"> </w:t>
      </w:r>
      <w:r w:rsidR="00E242E5" w:rsidRPr="00CC78FF">
        <w:t xml:space="preserve">Fiche pratique </w:t>
      </w:r>
      <w:r w:rsidR="00E242E5" w:rsidRPr="00CC78FF">
        <w:rPr>
          <w:i/>
          <w:iCs/>
        </w:rPr>
        <w:t>20200408_SCALP_CC_Fiche-pratique-UR-sans-TN</w:t>
      </w:r>
    </w:p>
    <w:p w:rsidR="00E242E5" w:rsidRPr="00CC78FF" w:rsidRDefault="00E242E5" w:rsidP="0073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CC78FF">
        <w:t xml:space="preserve">- FMU SCALP </w:t>
      </w:r>
      <w:r w:rsidRPr="00CC78FF">
        <w:rPr>
          <w:i/>
          <w:iCs/>
        </w:rPr>
        <w:t xml:space="preserve">FMU_VEN_VA01- </w:t>
      </w:r>
      <w:proofErr w:type="spellStart"/>
      <w:r w:rsidRPr="00CC78FF">
        <w:rPr>
          <w:i/>
          <w:iCs/>
        </w:rPr>
        <w:t>Gérer</w:t>
      </w:r>
      <w:proofErr w:type="spellEnd"/>
      <w:r w:rsidRPr="00CC78FF">
        <w:rPr>
          <w:i/>
          <w:iCs/>
        </w:rPr>
        <w:t xml:space="preserve"> les commandes de vente</w:t>
      </w:r>
    </w:p>
    <w:p w:rsidR="00F3625D" w:rsidRDefault="00F3625D" w:rsidP="0073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7372CC" w:rsidRDefault="007372CC" w:rsidP="007372CC">
      <w:pPr>
        <w:jc w:val="center"/>
      </w:pPr>
    </w:p>
    <w:p w:rsidR="00CF6F2F" w:rsidRDefault="00CF6F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2645"/>
        <w:gridCol w:w="2663"/>
        <w:gridCol w:w="2632"/>
      </w:tblGrid>
      <w:tr w:rsidR="00CF6F2F">
        <w:trPr>
          <w:trHeight w:val="340"/>
        </w:trPr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F2F" w:rsidRDefault="00CF6F2F">
            <w:pPr>
              <w:jc w:val="center"/>
            </w:pPr>
          </w:p>
        </w:tc>
        <w:tc>
          <w:tcPr>
            <w:tcW w:w="2685" w:type="dxa"/>
            <w:tcBorders>
              <w:left w:val="single" w:sz="4" w:space="0" w:color="auto"/>
            </w:tcBorders>
            <w:vAlign w:val="center"/>
          </w:tcPr>
          <w:p w:rsidR="00CF6F2F" w:rsidRDefault="00CF6F2F">
            <w:pPr>
              <w:jc w:val="center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Fonction ou service</w:t>
            </w:r>
          </w:p>
        </w:tc>
        <w:tc>
          <w:tcPr>
            <w:tcW w:w="2686" w:type="dxa"/>
            <w:vAlign w:val="center"/>
          </w:tcPr>
          <w:p w:rsidR="00CF6F2F" w:rsidRDefault="00CF6F2F">
            <w:pPr>
              <w:jc w:val="center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Nom</w:t>
            </w:r>
          </w:p>
        </w:tc>
        <w:tc>
          <w:tcPr>
            <w:tcW w:w="2686" w:type="dxa"/>
            <w:vAlign w:val="center"/>
          </w:tcPr>
          <w:p w:rsidR="00CF6F2F" w:rsidRDefault="00CF6F2F">
            <w:pPr>
              <w:jc w:val="center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Visa</w:t>
            </w:r>
          </w:p>
        </w:tc>
      </w:tr>
      <w:tr w:rsidR="00CF6F2F">
        <w:trPr>
          <w:trHeight w:val="340"/>
        </w:trPr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CF6F2F" w:rsidRDefault="00CF6F2F">
            <w:pPr>
              <w:pStyle w:val="Titre5"/>
            </w:pPr>
            <w:r>
              <w:t>Rédacteur</w:t>
            </w:r>
          </w:p>
        </w:tc>
        <w:tc>
          <w:tcPr>
            <w:tcW w:w="2685" w:type="dxa"/>
            <w:vAlign w:val="center"/>
          </w:tcPr>
          <w:p w:rsidR="00CF6F2F" w:rsidRPr="00E242E5" w:rsidRDefault="00BF37EF">
            <w:pPr>
              <w:jc w:val="center"/>
              <w:rPr>
                <w:sz w:val="20"/>
              </w:rPr>
            </w:pPr>
            <w:r w:rsidRPr="00CA6A0D">
              <w:rPr>
                <w:sz w:val="20"/>
              </w:rPr>
              <w:t>Projet scalp</w:t>
            </w:r>
          </w:p>
        </w:tc>
        <w:tc>
          <w:tcPr>
            <w:tcW w:w="2686" w:type="dxa"/>
            <w:vAlign w:val="center"/>
          </w:tcPr>
          <w:p w:rsidR="00CF6F2F" w:rsidRPr="00E242E5" w:rsidRDefault="005C2A41" w:rsidP="00623712">
            <w:pPr>
              <w:jc w:val="center"/>
              <w:rPr>
                <w:sz w:val="20"/>
                <w:vertAlign w:val="subscript"/>
              </w:rPr>
            </w:pPr>
            <w:r w:rsidRPr="00E242E5">
              <w:rPr>
                <w:caps/>
                <w:sz w:val="20"/>
                <w:szCs w:val="20"/>
              </w:rPr>
              <w:t>CNE DEGRANDCOURT</w:t>
            </w:r>
          </w:p>
        </w:tc>
        <w:tc>
          <w:tcPr>
            <w:tcW w:w="2686" w:type="dxa"/>
            <w:vAlign w:val="center"/>
          </w:tcPr>
          <w:p w:rsidR="00CF6F2F" w:rsidRDefault="00CF6F2F">
            <w:pPr>
              <w:jc w:val="center"/>
            </w:pPr>
          </w:p>
        </w:tc>
      </w:tr>
      <w:tr w:rsidR="00623712">
        <w:trPr>
          <w:trHeight w:val="340"/>
        </w:trPr>
        <w:tc>
          <w:tcPr>
            <w:tcW w:w="2685" w:type="dxa"/>
            <w:vAlign w:val="center"/>
          </w:tcPr>
          <w:p w:rsidR="00623712" w:rsidRDefault="00623712">
            <w:pPr>
              <w:jc w:val="center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Vérificateur</w:t>
            </w:r>
          </w:p>
        </w:tc>
        <w:tc>
          <w:tcPr>
            <w:tcW w:w="2685" w:type="dxa"/>
            <w:vAlign w:val="center"/>
          </w:tcPr>
          <w:p w:rsidR="00623712" w:rsidRPr="00E242E5" w:rsidRDefault="00E242E5">
            <w:pPr>
              <w:jc w:val="center"/>
              <w:rPr>
                <w:sz w:val="20"/>
              </w:rPr>
            </w:pPr>
            <w:r w:rsidRPr="00E242E5">
              <w:rPr>
                <w:sz w:val="20"/>
              </w:rPr>
              <w:t>EPEE de Metz / Chef exploitation</w:t>
            </w:r>
          </w:p>
        </w:tc>
        <w:tc>
          <w:tcPr>
            <w:tcW w:w="2686" w:type="dxa"/>
            <w:vAlign w:val="center"/>
          </w:tcPr>
          <w:p w:rsidR="00623712" w:rsidRPr="00E242E5" w:rsidRDefault="00E242E5">
            <w:pPr>
              <w:jc w:val="center"/>
              <w:rPr>
                <w:sz w:val="20"/>
              </w:rPr>
            </w:pPr>
            <w:r w:rsidRPr="00E242E5">
              <w:rPr>
                <w:sz w:val="20"/>
              </w:rPr>
              <w:t>MAJ SCHOSSELER</w:t>
            </w:r>
          </w:p>
        </w:tc>
        <w:tc>
          <w:tcPr>
            <w:tcW w:w="2686" w:type="dxa"/>
            <w:vAlign w:val="center"/>
          </w:tcPr>
          <w:p w:rsidR="00623712" w:rsidRDefault="00623712">
            <w:pPr>
              <w:jc w:val="center"/>
            </w:pPr>
          </w:p>
        </w:tc>
      </w:tr>
      <w:tr w:rsidR="00CF6F2F">
        <w:trPr>
          <w:trHeight w:val="340"/>
        </w:trPr>
        <w:tc>
          <w:tcPr>
            <w:tcW w:w="2685" w:type="dxa"/>
            <w:vAlign w:val="center"/>
          </w:tcPr>
          <w:p w:rsidR="00CF6F2F" w:rsidRDefault="002D75D4">
            <w:pPr>
              <w:jc w:val="center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Vérificateur</w:t>
            </w:r>
          </w:p>
        </w:tc>
        <w:tc>
          <w:tcPr>
            <w:tcW w:w="2685" w:type="dxa"/>
            <w:vAlign w:val="center"/>
          </w:tcPr>
          <w:p w:rsidR="00CF6F2F" w:rsidRPr="00E242E5" w:rsidRDefault="00E242E5">
            <w:pPr>
              <w:jc w:val="center"/>
              <w:rPr>
                <w:sz w:val="20"/>
              </w:rPr>
            </w:pPr>
            <w:r w:rsidRPr="00E242E5">
              <w:rPr>
                <w:sz w:val="20"/>
              </w:rPr>
              <w:t>DELPIA / Chef bureau finance</w:t>
            </w:r>
          </w:p>
        </w:tc>
        <w:tc>
          <w:tcPr>
            <w:tcW w:w="2686" w:type="dxa"/>
            <w:vAlign w:val="center"/>
          </w:tcPr>
          <w:p w:rsidR="00CF6F2F" w:rsidRPr="00E242E5" w:rsidRDefault="00E242E5">
            <w:pPr>
              <w:jc w:val="center"/>
              <w:rPr>
                <w:sz w:val="20"/>
              </w:rPr>
            </w:pPr>
            <w:r w:rsidRPr="00E242E5">
              <w:rPr>
                <w:sz w:val="20"/>
              </w:rPr>
              <w:t>IC</w:t>
            </w:r>
            <w:r w:rsidR="001F6622">
              <w:rPr>
                <w:sz w:val="20"/>
              </w:rPr>
              <w:t>2</w:t>
            </w:r>
            <w:r w:rsidRPr="00E242E5">
              <w:rPr>
                <w:sz w:val="20"/>
              </w:rPr>
              <w:t xml:space="preserve"> BIRI</w:t>
            </w:r>
          </w:p>
        </w:tc>
        <w:tc>
          <w:tcPr>
            <w:tcW w:w="2686" w:type="dxa"/>
            <w:vAlign w:val="center"/>
          </w:tcPr>
          <w:p w:rsidR="00CF6F2F" w:rsidRDefault="00CF6F2F">
            <w:pPr>
              <w:jc w:val="center"/>
            </w:pPr>
          </w:p>
        </w:tc>
      </w:tr>
      <w:tr w:rsidR="00CF6F2F">
        <w:trPr>
          <w:trHeight w:val="340"/>
        </w:trPr>
        <w:tc>
          <w:tcPr>
            <w:tcW w:w="2685" w:type="dxa"/>
            <w:vAlign w:val="center"/>
          </w:tcPr>
          <w:p w:rsidR="00CF6F2F" w:rsidRDefault="00CF6F2F">
            <w:pPr>
              <w:jc w:val="center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Approbateur</w:t>
            </w:r>
          </w:p>
        </w:tc>
        <w:tc>
          <w:tcPr>
            <w:tcW w:w="2685" w:type="dxa"/>
            <w:vAlign w:val="center"/>
          </w:tcPr>
          <w:p w:rsidR="00CF6F2F" w:rsidRPr="00E242E5" w:rsidRDefault="00E242E5">
            <w:pPr>
              <w:jc w:val="center"/>
              <w:rPr>
                <w:sz w:val="20"/>
              </w:rPr>
            </w:pPr>
            <w:r w:rsidRPr="00E242E5">
              <w:rPr>
                <w:sz w:val="20"/>
              </w:rPr>
              <w:t xml:space="preserve">DCSEA / </w:t>
            </w:r>
            <w:r w:rsidR="00883C34" w:rsidRPr="00E242E5">
              <w:rPr>
                <w:sz w:val="20"/>
              </w:rPr>
              <w:t>Chef SDO2</w:t>
            </w:r>
          </w:p>
        </w:tc>
        <w:tc>
          <w:tcPr>
            <w:tcW w:w="2686" w:type="dxa"/>
            <w:vAlign w:val="center"/>
          </w:tcPr>
          <w:p w:rsidR="00CF6F2F" w:rsidRPr="00E242E5" w:rsidRDefault="00623712">
            <w:pPr>
              <w:jc w:val="center"/>
              <w:rPr>
                <w:sz w:val="20"/>
              </w:rPr>
            </w:pPr>
            <w:r w:rsidRPr="00E242E5">
              <w:rPr>
                <w:sz w:val="20"/>
                <w:szCs w:val="20"/>
              </w:rPr>
              <w:t>IC2</w:t>
            </w:r>
            <w:r w:rsidR="00883C34" w:rsidRPr="00E242E5">
              <w:rPr>
                <w:sz w:val="20"/>
                <w:szCs w:val="20"/>
              </w:rPr>
              <w:t xml:space="preserve"> </w:t>
            </w:r>
            <w:r w:rsidR="005C2A41" w:rsidRPr="00E242E5">
              <w:rPr>
                <w:sz w:val="20"/>
                <w:szCs w:val="20"/>
              </w:rPr>
              <w:t>BORTOLUSSI</w:t>
            </w:r>
          </w:p>
        </w:tc>
        <w:tc>
          <w:tcPr>
            <w:tcW w:w="2686" w:type="dxa"/>
            <w:vAlign w:val="center"/>
          </w:tcPr>
          <w:p w:rsidR="00CF6F2F" w:rsidRDefault="00CF6F2F">
            <w:pPr>
              <w:jc w:val="center"/>
            </w:pPr>
          </w:p>
        </w:tc>
      </w:tr>
    </w:tbl>
    <w:p w:rsidR="00CF6F2F" w:rsidRDefault="00CF6F2F"/>
    <w:p w:rsidR="00B57E0B" w:rsidRDefault="00283D2C" w:rsidP="00B57E0B">
      <w:pPr>
        <w:pStyle w:val="Titre1"/>
        <w:tabs>
          <w:tab w:val="clear" w:pos="360"/>
        </w:tabs>
        <w:ind w:left="280"/>
      </w:pPr>
      <w:bookmarkStart w:id="1" w:name="_Toc179914650"/>
      <w:bookmarkStart w:id="2" w:name="_Toc273357184"/>
      <w:r>
        <w:br w:type="page"/>
      </w:r>
      <w:bookmarkStart w:id="3" w:name="_Toc399244408"/>
      <w:bookmarkStart w:id="4" w:name="_Toc516671333"/>
      <w:bookmarkStart w:id="5" w:name="_Toc40127415"/>
      <w:r w:rsidR="00B57E0B">
        <w:lastRenderedPageBreak/>
        <w:t>OBJECTIF</w:t>
      </w:r>
      <w:bookmarkEnd w:id="1"/>
      <w:bookmarkEnd w:id="2"/>
      <w:bookmarkEnd w:id="3"/>
      <w:bookmarkEnd w:id="4"/>
      <w:bookmarkEnd w:id="5"/>
      <w:r w:rsidR="00B57E0B">
        <w:t xml:space="preserve"> </w:t>
      </w:r>
    </w:p>
    <w:p w:rsidR="006D27B7" w:rsidRDefault="0016738D" w:rsidP="0016738D">
      <w:pPr>
        <w:autoSpaceDE w:val="0"/>
        <w:autoSpaceDN w:val="0"/>
        <w:adjustRightInd w:val="0"/>
      </w:pPr>
      <w:bookmarkStart w:id="6" w:name="_Toc191097678"/>
      <w:bookmarkStart w:id="7" w:name="_Toc399244409"/>
      <w:r>
        <w:t xml:space="preserve">Cette procédure </w:t>
      </w:r>
      <w:r w:rsidR="00C52D07">
        <w:t xml:space="preserve">définit </w:t>
      </w:r>
      <w:r w:rsidR="00DA14AB">
        <w:t>le</w:t>
      </w:r>
      <w:r w:rsidR="00CE3D15">
        <w:t xml:space="preserve">s règles à suivre pour </w:t>
      </w:r>
      <w:r w:rsidR="00BF37EF" w:rsidRPr="00CA6A0D">
        <w:t xml:space="preserve">gérer </w:t>
      </w:r>
      <w:r w:rsidR="00CE3D15">
        <w:t xml:space="preserve">les </w:t>
      </w:r>
      <w:r w:rsidR="00171F94">
        <w:t xml:space="preserve">cessions </w:t>
      </w:r>
      <w:r w:rsidR="00BF37EF">
        <w:t>d</w:t>
      </w:r>
      <w:r w:rsidR="00171F94">
        <w:t>e produits</w:t>
      </w:r>
      <w:r w:rsidR="00CE3D15">
        <w:t xml:space="preserve"> pétroli</w:t>
      </w:r>
      <w:r w:rsidR="00171F94">
        <w:t>er</w:t>
      </w:r>
      <w:r w:rsidR="00CE3D15">
        <w:t xml:space="preserve">s </w:t>
      </w:r>
      <w:r w:rsidR="00171F94">
        <w:t>réalisées par les</w:t>
      </w:r>
      <w:r w:rsidR="00CE3D15">
        <w:t xml:space="preserve"> </w:t>
      </w:r>
      <w:r w:rsidR="00DA14AB">
        <w:t>unités ravitailleuses</w:t>
      </w:r>
      <w:r w:rsidR="00C52D07">
        <w:t>.</w:t>
      </w:r>
    </w:p>
    <w:p w:rsidR="004F0245" w:rsidRDefault="00C52D07" w:rsidP="00BE25E7">
      <w:pPr>
        <w:pStyle w:val="Titre1"/>
        <w:spacing w:before="240"/>
        <w:ind w:left="283"/>
      </w:pPr>
      <w:bookmarkStart w:id="8" w:name="_Toc516671334"/>
      <w:bookmarkStart w:id="9" w:name="_Toc40127416"/>
      <w:bookmarkEnd w:id="6"/>
      <w:bookmarkEnd w:id="7"/>
      <w:r>
        <w:t>CHAMP D’APPLICATION</w:t>
      </w:r>
      <w:bookmarkEnd w:id="8"/>
      <w:bookmarkEnd w:id="9"/>
    </w:p>
    <w:p w:rsidR="00C52D07" w:rsidRDefault="00C52D07" w:rsidP="00C52D07"/>
    <w:p w:rsidR="00B163C7" w:rsidRDefault="00C52D07" w:rsidP="00C52D07">
      <w:r>
        <w:t xml:space="preserve">Cette procédure s’applique </w:t>
      </w:r>
      <w:r w:rsidR="00CE3D15">
        <w:t xml:space="preserve">à l’ensemble des </w:t>
      </w:r>
      <w:r w:rsidR="00E242E5">
        <w:t>UR</w:t>
      </w:r>
      <w:r w:rsidR="0017619F">
        <w:t xml:space="preserve"> disposant </w:t>
      </w:r>
      <w:r w:rsidR="00171F94">
        <w:t xml:space="preserve">ou </w:t>
      </w:r>
      <w:r w:rsidR="0017619F">
        <w:t xml:space="preserve">pas </w:t>
      </w:r>
      <w:r w:rsidR="00171F94">
        <w:t xml:space="preserve">d’un </w:t>
      </w:r>
      <w:r w:rsidR="0017619F">
        <w:t xml:space="preserve">terminal </w:t>
      </w:r>
      <w:r w:rsidR="00171F94">
        <w:t>nomade (TN</w:t>
      </w:r>
      <w:r w:rsidR="005D11A0">
        <w:t>)</w:t>
      </w:r>
      <w:r w:rsidR="00E242E5">
        <w:t>.</w:t>
      </w:r>
    </w:p>
    <w:p w:rsidR="00171F94" w:rsidRDefault="00171F94" w:rsidP="00C52D07">
      <w:r>
        <w:t xml:space="preserve">Les UR peuvent céder des carburants en vrac. De façon exceptionnelle, elles peuvent obtenir l’autorisation du SEA de céder des carburants en conditionné (ex : F34-F200 L) ou des ingrédients en vrac et conditionné (ex : AD Blue). </w:t>
      </w:r>
    </w:p>
    <w:p w:rsidR="00171F94" w:rsidRDefault="00171F94" w:rsidP="00C52D07"/>
    <w:p w:rsidR="00171F94" w:rsidRDefault="005D4587" w:rsidP="00171F94">
      <w:pPr>
        <w:pStyle w:val="Titre1"/>
      </w:pPr>
      <w:bookmarkStart w:id="10" w:name="_Toc40127417"/>
      <w:r>
        <w:t>DÉFINITION</w:t>
      </w:r>
      <w:bookmarkEnd w:id="10"/>
    </w:p>
    <w:p w:rsidR="005D4587" w:rsidRDefault="005D4587" w:rsidP="005D4587"/>
    <w:p w:rsidR="00414F15" w:rsidRDefault="005D4587" w:rsidP="00414F15">
      <w:pPr>
        <w:pStyle w:val="Titre2"/>
      </w:pPr>
      <w:r>
        <w:t>Unité ravitailleuse</w:t>
      </w:r>
    </w:p>
    <w:p w:rsidR="005D4587" w:rsidRDefault="00C31B06" w:rsidP="005D4587">
      <w:r>
        <w:t>S</w:t>
      </w:r>
      <w:r w:rsidR="005D4587">
        <w:t xml:space="preserve">tatut qui octroie à un client du SEA </w:t>
      </w:r>
      <w:r w:rsidR="00BF37EF" w:rsidRPr="00CA6A0D">
        <w:t xml:space="preserve">la possibilité </w:t>
      </w:r>
      <w:r w:rsidR="005D4587" w:rsidRPr="00CA6A0D">
        <w:t xml:space="preserve">de distribuer du carburant </w:t>
      </w:r>
      <w:r w:rsidR="005D11A0" w:rsidRPr="00CA6A0D">
        <w:t>et</w:t>
      </w:r>
      <w:r w:rsidR="005D4587" w:rsidRPr="00CA6A0D">
        <w:t xml:space="preserve"> exceptionnellement</w:t>
      </w:r>
      <w:r w:rsidR="005D11A0" w:rsidRPr="00CA6A0D">
        <w:t xml:space="preserve"> des ingrédients à d’autres clients du SEA à partir de son propre stock et de faire l’objet, en compensation, d’un </w:t>
      </w:r>
      <w:r w:rsidR="00BF37EF" w:rsidRPr="00CA6A0D">
        <w:t xml:space="preserve">remboursement </w:t>
      </w:r>
      <w:r w:rsidR="005D11A0" w:rsidRPr="00CA6A0D">
        <w:t>par le SEA.</w:t>
      </w:r>
    </w:p>
    <w:p w:rsidR="00414F15" w:rsidRDefault="00414F15" w:rsidP="005D4587"/>
    <w:p w:rsidR="00414F15" w:rsidRDefault="00414F15" w:rsidP="00414F15">
      <w:pPr>
        <w:pStyle w:val="Titre2"/>
      </w:pPr>
      <w:r>
        <w:t>Chargé de clientèle</w:t>
      </w:r>
      <w:r w:rsidR="00454833">
        <w:t xml:space="preserve"> - CC</w:t>
      </w:r>
    </w:p>
    <w:p w:rsidR="00C31B06" w:rsidRDefault="00C31B06" w:rsidP="00C31B06">
      <w:r>
        <w:t>Le chargé de clientèle a pour mission de gérer un ensemble de clients et de prendre en compte leur</w:t>
      </w:r>
      <w:r w:rsidR="00BF37EF">
        <w:t>s</w:t>
      </w:r>
      <w:r>
        <w:t xml:space="preserve"> besoin</w:t>
      </w:r>
      <w:r w:rsidR="00BF37EF">
        <w:t>s</w:t>
      </w:r>
      <w:r>
        <w:t>. Le chargé de clientèle est différent en fonction de la typologie de l’UR :</w:t>
      </w:r>
    </w:p>
    <w:p w:rsidR="00C31B06" w:rsidRDefault="00C31B06" w:rsidP="00C31B06"/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5296"/>
        <w:gridCol w:w="5296"/>
      </w:tblGrid>
      <w:tr w:rsidR="00C31B06" w:rsidRPr="00454833" w:rsidTr="00C31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C31B06" w:rsidRPr="00454833" w:rsidRDefault="00C31B06" w:rsidP="00C31B06">
            <w:pPr>
              <w:rPr>
                <w:b w:val="0"/>
                <w:bCs w:val="0"/>
                <w:sz w:val="22"/>
                <w:szCs w:val="22"/>
              </w:rPr>
            </w:pPr>
            <w:r w:rsidRPr="00454833">
              <w:rPr>
                <w:b w:val="0"/>
                <w:bCs w:val="0"/>
                <w:sz w:val="22"/>
                <w:szCs w:val="22"/>
              </w:rPr>
              <w:t>Type d’UR</w:t>
            </w:r>
          </w:p>
        </w:tc>
        <w:tc>
          <w:tcPr>
            <w:tcW w:w="5296" w:type="dxa"/>
          </w:tcPr>
          <w:p w:rsidR="00C31B06" w:rsidRPr="00454833" w:rsidRDefault="00C31B06" w:rsidP="00C31B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454833">
              <w:rPr>
                <w:b w:val="0"/>
                <w:bCs w:val="0"/>
                <w:sz w:val="22"/>
                <w:szCs w:val="22"/>
              </w:rPr>
              <w:t>Chargé de clientèle</w:t>
            </w:r>
          </w:p>
        </w:tc>
      </w:tr>
      <w:tr w:rsidR="00C31B06" w:rsidRPr="00454833" w:rsidTr="00C31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C31B06" w:rsidRPr="00454833" w:rsidRDefault="00C31B06" w:rsidP="00C31B06">
            <w:pPr>
              <w:rPr>
                <w:b w:val="0"/>
                <w:bCs w:val="0"/>
                <w:sz w:val="22"/>
                <w:szCs w:val="22"/>
              </w:rPr>
            </w:pPr>
            <w:r w:rsidRPr="00454833">
              <w:rPr>
                <w:b w:val="0"/>
                <w:bCs w:val="0"/>
                <w:sz w:val="22"/>
                <w:szCs w:val="22"/>
              </w:rPr>
              <w:t>UR métropole installation fixe</w:t>
            </w:r>
          </w:p>
        </w:tc>
        <w:tc>
          <w:tcPr>
            <w:tcW w:w="5296" w:type="dxa"/>
          </w:tcPr>
          <w:p w:rsidR="00C31B06" w:rsidRPr="00E57DDB" w:rsidRDefault="00C31B06" w:rsidP="00C31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7DDB">
              <w:rPr>
                <w:sz w:val="22"/>
                <w:szCs w:val="22"/>
              </w:rPr>
              <w:t>EPEE de rattachement</w:t>
            </w:r>
          </w:p>
        </w:tc>
      </w:tr>
      <w:tr w:rsidR="00C31B06" w:rsidRPr="00454833" w:rsidTr="00C31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C31B06" w:rsidRPr="00454833" w:rsidRDefault="00C31B06" w:rsidP="00C31B06">
            <w:pPr>
              <w:rPr>
                <w:b w:val="0"/>
                <w:bCs w:val="0"/>
                <w:sz w:val="22"/>
                <w:szCs w:val="22"/>
              </w:rPr>
            </w:pPr>
            <w:r w:rsidRPr="00454833">
              <w:rPr>
                <w:b w:val="0"/>
                <w:bCs w:val="0"/>
                <w:sz w:val="22"/>
                <w:szCs w:val="22"/>
              </w:rPr>
              <w:t>UR Outre-mer installation fixe</w:t>
            </w:r>
          </w:p>
        </w:tc>
        <w:tc>
          <w:tcPr>
            <w:tcW w:w="5296" w:type="dxa"/>
          </w:tcPr>
          <w:p w:rsidR="00C31B06" w:rsidRPr="00E57DDB" w:rsidRDefault="00C31B06" w:rsidP="00C31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7DDB">
              <w:rPr>
                <w:sz w:val="22"/>
                <w:szCs w:val="22"/>
              </w:rPr>
              <w:t>DSEA de rattachement</w:t>
            </w:r>
          </w:p>
        </w:tc>
      </w:tr>
      <w:tr w:rsidR="00C31B06" w:rsidRPr="00454833" w:rsidTr="00C31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C31B06" w:rsidRPr="00454833" w:rsidRDefault="00C31B06" w:rsidP="00C31B06">
            <w:pPr>
              <w:rPr>
                <w:b w:val="0"/>
                <w:bCs w:val="0"/>
                <w:sz w:val="22"/>
                <w:szCs w:val="22"/>
              </w:rPr>
            </w:pPr>
            <w:r w:rsidRPr="00454833">
              <w:rPr>
                <w:b w:val="0"/>
                <w:bCs w:val="0"/>
                <w:sz w:val="22"/>
                <w:szCs w:val="22"/>
              </w:rPr>
              <w:t>UR « Marine »</w:t>
            </w:r>
          </w:p>
        </w:tc>
        <w:tc>
          <w:tcPr>
            <w:tcW w:w="5296" w:type="dxa"/>
          </w:tcPr>
          <w:p w:rsidR="00C31B06" w:rsidRPr="00E57DDB" w:rsidRDefault="00C31B06" w:rsidP="00C31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E57DDB">
              <w:rPr>
                <w:sz w:val="22"/>
                <w:szCs w:val="22"/>
              </w:rPr>
              <w:t>DEMa</w:t>
            </w:r>
            <w:proofErr w:type="spellEnd"/>
            <w:r w:rsidRPr="00E57DDB">
              <w:rPr>
                <w:sz w:val="22"/>
                <w:szCs w:val="22"/>
              </w:rPr>
              <w:t xml:space="preserve"> de rattachement du bâtiment</w:t>
            </w:r>
            <w:r w:rsidR="005A1AF6" w:rsidRPr="00E57DDB">
              <w:rPr>
                <w:sz w:val="22"/>
                <w:szCs w:val="22"/>
              </w:rPr>
              <w:t xml:space="preserve"> Marin</w:t>
            </w:r>
          </w:p>
        </w:tc>
      </w:tr>
      <w:tr w:rsidR="00C31B06" w:rsidRPr="00454833" w:rsidTr="00C31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C31B06" w:rsidRPr="00454833" w:rsidRDefault="00C31B06" w:rsidP="00C31B06">
            <w:pPr>
              <w:rPr>
                <w:b w:val="0"/>
                <w:bCs w:val="0"/>
                <w:sz w:val="22"/>
                <w:szCs w:val="22"/>
              </w:rPr>
            </w:pPr>
            <w:r w:rsidRPr="00454833">
              <w:rPr>
                <w:b w:val="0"/>
                <w:bCs w:val="0"/>
                <w:sz w:val="22"/>
                <w:szCs w:val="22"/>
              </w:rPr>
              <w:t>UR « Air »</w:t>
            </w:r>
          </w:p>
        </w:tc>
        <w:tc>
          <w:tcPr>
            <w:tcW w:w="5296" w:type="dxa"/>
          </w:tcPr>
          <w:p w:rsidR="00C31B06" w:rsidRPr="00E57DDB" w:rsidRDefault="00C31B06" w:rsidP="00C31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7DDB">
              <w:rPr>
                <w:sz w:val="22"/>
                <w:szCs w:val="22"/>
              </w:rPr>
              <w:t>DEA de rattachement de l’escadron</w:t>
            </w:r>
            <w:r w:rsidR="005A1AF6" w:rsidRPr="00E57DDB">
              <w:rPr>
                <w:sz w:val="22"/>
                <w:szCs w:val="22"/>
              </w:rPr>
              <w:t xml:space="preserve"> Air</w:t>
            </w:r>
          </w:p>
        </w:tc>
      </w:tr>
      <w:tr w:rsidR="00C31B06" w:rsidRPr="00454833" w:rsidTr="00C31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C31B06" w:rsidRPr="00454833" w:rsidRDefault="00C31B06" w:rsidP="00C31B06">
            <w:pPr>
              <w:rPr>
                <w:b w:val="0"/>
                <w:bCs w:val="0"/>
                <w:sz w:val="22"/>
                <w:szCs w:val="22"/>
              </w:rPr>
            </w:pPr>
            <w:r w:rsidRPr="00454833">
              <w:rPr>
                <w:b w:val="0"/>
                <w:bCs w:val="0"/>
                <w:sz w:val="22"/>
                <w:szCs w:val="22"/>
              </w:rPr>
              <w:t>UR « Terre » (capacit</w:t>
            </w:r>
            <w:r w:rsidR="00454833" w:rsidRPr="00454833">
              <w:rPr>
                <w:b w:val="0"/>
                <w:bCs w:val="0"/>
                <w:sz w:val="22"/>
                <w:szCs w:val="22"/>
              </w:rPr>
              <w:t>é</w:t>
            </w:r>
            <w:r w:rsidRPr="00454833">
              <w:rPr>
                <w:b w:val="0"/>
                <w:bCs w:val="0"/>
                <w:sz w:val="22"/>
                <w:szCs w:val="22"/>
              </w:rPr>
              <w:t xml:space="preserve"> sur roues)</w:t>
            </w:r>
            <w:r w:rsidR="005A1AF6">
              <w:rPr>
                <w:b w:val="0"/>
                <w:bCs w:val="0"/>
                <w:sz w:val="22"/>
                <w:szCs w:val="22"/>
              </w:rPr>
              <w:t xml:space="preserve"> métropole hors OPINT / Exercice</w:t>
            </w:r>
          </w:p>
        </w:tc>
        <w:tc>
          <w:tcPr>
            <w:tcW w:w="5296" w:type="dxa"/>
          </w:tcPr>
          <w:p w:rsidR="00C31B06" w:rsidRPr="00E57DDB" w:rsidRDefault="005A1AF6" w:rsidP="00C31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7DDB">
              <w:rPr>
                <w:sz w:val="22"/>
                <w:szCs w:val="22"/>
              </w:rPr>
              <w:t>Dépôt SEA de rattachement de l’unité Terre</w:t>
            </w:r>
          </w:p>
        </w:tc>
      </w:tr>
      <w:tr w:rsidR="005A1AF6" w:rsidRPr="00454833" w:rsidTr="00C31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5A1AF6" w:rsidRPr="005A1AF6" w:rsidRDefault="005A1AF6" w:rsidP="00C31B06">
            <w:pPr>
              <w:rPr>
                <w:b w:val="0"/>
                <w:bCs w:val="0"/>
                <w:sz w:val="22"/>
                <w:szCs w:val="22"/>
              </w:rPr>
            </w:pPr>
            <w:r w:rsidRPr="005A1AF6">
              <w:rPr>
                <w:b w:val="0"/>
                <w:bCs w:val="0"/>
                <w:sz w:val="22"/>
                <w:szCs w:val="22"/>
              </w:rPr>
              <w:t>UR OPEX</w:t>
            </w:r>
            <w:r>
              <w:rPr>
                <w:b w:val="0"/>
                <w:bCs w:val="0"/>
                <w:sz w:val="22"/>
                <w:szCs w:val="22"/>
              </w:rPr>
              <w:t xml:space="preserve"> (toutes UR)</w:t>
            </w:r>
          </w:p>
        </w:tc>
        <w:tc>
          <w:tcPr>
            <w:tcW w:w="5296" w:type="dxa"/>
          </w:tcPr>
          <w:p w:rsidR="005A1AF6" w:rsidRPr="00E57DDB" w:rsidRDefault="005A1AF6" w:rsidP="00E57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57DDB">
              <w:rPr>
                <w:sz w:val="22"/>
                <w:szCs w:val="22"/>
              </w:rPr>
              <w:t>AISP de Théâtre</w:t>
            </w:r>
            <w:r w:rsidR="00BF37EF" w:rsidRPr="00E57DDB">
              <w:rPr>
                <w:sz w:val="22"/>
                <w:szCs w:val="22"/>
              </w:rPr>
              <w:t xml:space="preserve"> (</w:t>
            </w:r>
            <w:r w:rsidR="00E57DDB" w:rsidRPr="00E57DDB">
              <w:rPr>
                <w:sz w:val="22"/>
                <w:szCs w:val="22"/>
              </w:rPr>
              <w:t>ou chef de détachement</w:t>
            </w:r>
            <w:r w:rsidR="00BF37EF" w:rsidRPr="00E57DDB">
              <w:rPr>
                <w:sz w:val="22"/>
                <w:szCs w:val="22"/>
              </w:rPr>
              <w:t>)</w:t>
            </w:r>
          </w:p>
        </w:tc>
      </w:tr>
      <w:tr w:rsidR="005A1AF6" w:rsidRPr="00454833" w:rsidTr="00C31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5A1AF6" w:rsidRPr="005A1AF6" w:rsidRDefault="005A1AF6" w:rsidP="00C31B06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UR « Terre » (capacités sur roues) OPINT / Exercice</w:t>
            </w:r>
          </w:p>
        </w:tc>
        <w:tc>
          <w:tcPr>
            <w:tcW w:w="5296" w:type="dxa"/>
          </w:tcPr>
          <w:p w:rsidR="005A1AF6" w:rsidRPr="00E57DDB" w:rsidRDefault="005A1AF6" w:rsidP="00C31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7DDB">
              <w:rPr>
                <w:sz w:val="22"/>
                <w:szCs w:val="22"/>
              </w:rPr>
              <w:t xml:space="preserve">A définir dans l’organisation logistique </w:t>
            </w:r>
          </w:p>
        </w:tc>
      </w:tr>
    </w:tbl>
    <w:p w:rsidR="00C31B06" w:rsidRPr="00C31B06" w:rsidRDefault="00C31B06" w:rsidP="00C31B06"/>
    <w:p w:rsidR="004F0245" w:rsidRDefault="004F0245" w:rsidP="00BE25E7">
      <w:pPr>
        <w:pStyle w:val="Titre1"/>
        <w:spacing w:before="240"/>
        <w:ind w:left="283"/>
      </w:pPr>
      <w:bookmarkStart w:id="11" w:name="_Toc191097679"/>
      <w:bookmarkStart w:id="12" w:name="_Toc399244411"/>
      <w:bookmarkStart w:id="13" w:name="_Toc516671335"/>
      <w:bookmarkStart w:id="14" w:name="_Toc40127418"/>
      <w:r>
        <w:t>MODALITÉS</w:t>
      </w:r>
      <w:bookmarkEnd w:id="11"/>
      <w:bookmarkEnd w:id="12"/>
      <w:bookmarkEnd w:id="13"/>
      <w:bookmarkEnd w:id="14"/>
    </w:p>
    <w:p w:rsidR="005D4587" w:rsidRDefault="005D4587" w:rsidP="004D1BE9"/>
    <w:p w:rsidR="005D11A0" w:rsidRDefault="004D1BE9" w:rsidP="004D1BE9">
      <w:r>
        <w:t xml:space="preserve">Tout mouvement de carburant de l’UR </w:t>
      </w:r>
      <w:r w:rsidR="005D11A0">
        <w:t xml:space="preserve">au profit d’un autre client </w:t>
      </w:r>
      <w:r>
        <w:t>doit être tracé puis retranscrit dans SCALP</w:t>
      </w:r>
      <w:r w:rsidR="005D11A0">
        <w:t xml:space="preserve"> pour </w:t>
      </w:r>
      <w:r w:rsidR="00CC78FF">
        <w:t>générer</w:t>
      </w:r>
      <w:r w:rsidR="005D11A0">
        <w:t> :</w:t>
      </w:r>
    </w:p>
    <w:p w:rsidR="005D11A0" w:rsidRDefault="00CC78FF" w:rsidP="005D11A0">
      <w:pPr>
        <w:pStyle w:val="Paragraphedeliste"/>
        <w:numPr>
          <w:ilvl w:val="0"/>
          <w:numId w:val="16"/>
        </w:numPr>
      </w:pPr>
      <w:r>
        <w:t>Une facture d’</w:t>
      </w:r>
      <w:r w:rsidR="005D11A0">
        <w:t>avoir au profit de l’UR,</w:t>
      </w:r>
    </w:p>
    <w:p w:rsidR="004D1BE9" w:rsidRDefault="00CC78FF" w:rsidP="005D11A0">
      <w:pPr>
        <w:pStyle w:val="Paragraphedeliste"/>
        <w:numPr>
          <w:ilvl w:val="0"/>
          <w:numId w:val="16"/>
        </w:numPr>
      </w:pPr>
      <w:r>
        <w:t xml:space="preserve">Une facture </w:t>
      </w:r>
      <w:r w:rsidR="005D11A0">
        <w:t>au client dit client refacturé.</w:t>
      </w:r>
    </w:p>
    <w:p w:rsidR="004D1BE9" w:rsidRDefault="004D1BE9" w:rsidP="00E242E5"/>
    <w:p w:rsidR="004D1BE9" w:rsidRDefault="004D1BE9" w:rsidP="004D1BE9">
      <w:pPr>
        <w:pStyle w:val="Titre2"/>
      </w:pPr>
      <w:r>
        <w:t>Cession</w:t>
      </w:r>
      <w:r w:rsidR="005D11A0">
        <w:t>s</w:t>
      </w:r>
      <w:r w:rsidR="00454833">
        <w:t xml:space="preserve"> UR avec TN</w:t>
      </w:r>
    </w:p>
    <w:p w:rsidR="00454833" w:rsidRDefault="00454833" w:rsidP="00454833">
      <w:pPr>
        <w:pStyle w:val="Titre3"/>
      </w:pPr>
      <w:r>
        <w:t>Action UR – Synchronisation des TN</w:t>
      </w:r>
    </w:p>
    <w:p w:rsidR="00454833" w:rsidRDefault="00454833" w:rsidP="00454833">
      <w:r>
        <w:t xml:space="preserve">Après avoir saisi des </w:t>
      </w:r>
      <w:r w:rsidR="00E86E60">
        <w:t xml:space="preserve">cessions </w:t>
      </w:r>
      <w:r>
        <w:t xml:space="preserve">sur le TN, le responsable de l’UR doit le synchroniser sur son puit de chargement. Il est recommandé de ne pas dépasser 10 opérations avant synchronisation. A minima, la synchronisation est effectuée quotidiennement. </w:t>
      </w:r>
    </w:p>
    <w:p w:rsidR="00454833" w:rsidRDefault="00454833" w:rsidP="00454833"/>
    <w:p w:rsidR="00CC78FF" w:rsidRDefault="00CC78FF" w:rsidP="00454833"/>
    <w:p w:rsidR="00CC78FF" w:rsidRDefault="00CC78FF" w:rsidP="00454833"/>
    <w:p w:rsidR="00454833" w:rsidRDefault="00454833" w:rsidP="00454833">
      <w:pPr>
        <w:pStyle w:val="Titre3"/>
      </w:pPr>
      <w:r>
        <w:lastRenderedPageBreak/>
        <w:t>Action CC – Contrôle de l’intégration des informations dans le cœur SCALP</w:t>
      </w:r>
    </w:p>
    <w:p w:rsidR="00501E6D" w:rsidRDefault="00634EC7" w:rsidP="00454833">
      <w:r>
        <w:t>L’intégration du journal des opérations TN dans le cœur SCALP s’effectue automatiquement. Cependant, un contrôle de la bonne intégration de ces informations doit être réalisé.</w:t>
      </w:r>
      <w:r w:rsidR="00501E6D">
        <w:t xml:space="preserve"> L</w:t>
      </w:r>
      <w:r>
        <w:t xml:space="preserve">es EPEE assurent une veille </w:t>
      </w:r>
      <w:r w:rsidR="00501E6D">
        <w:t>mensuelle pour l’ensemble des UR selon le tour ci-dessous.</w:t>
      </w:r>
    </w:p>
    <w:p w:rsidR="00501E6D" w:rsidRDefault="00501E6D" w:rsidP="00454833"/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5296"/>
        <w:gridCol w:w="5296"/>
      </w:tblGrid>
      <w:tr w:rsidR="00501E6D" w:rsidRPr="00454833" w:rsidTr="000A5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501E6D" w:rsidRPr="00454833" w:rsidRDefault="00501E6D" w:rsidP="000A5DA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EPEE</w:t>
            </w:r>
          </w:p>
        </w:tc>
        <w:tc>
          <w:tcPr>
            <w:tcW w:w="5296" w:type="dxa"/>
          </w:tcPr>
          <w:p w:rsidR="00501E6D" w:rsidRPr="00454833" w:rsidRDefault="00501E6D" w:rsidP="000A5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Mois de veille</w:t>
            </w:r>
          </w:p>
        </w:tc>
      </w:tr>
      <w:tr w:rsidR="00501E6D" w:rsidRPr="00454833" w:rsidTr="000A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501E6D" w:rsidRPr="00454833" w:rsidRDefault="00501E6D" w:rsidP="000A5DA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EPEE de Bordeaux</w:t>
            </w:r>
          </w:p>
        </w:tc>
        <w:tc>
          <w:tcPr>
            <w:tcW w:w="5296" w:type="dxa"/>
          </w:tcPr>
          <w:p w:rsidR="00501E6D" w:rsidRPr="00454833" w:rsidRDefault="00501E6D" w:rsidP="000A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Janvier - Février</w:t>
            </w:r>
          </w:p>
        </w:tc>
      </w:tr>
      <w:tr w:rsidR="00501E6D" w:rsidRPr="00454833" w:rsidTr="000A5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501E6D" w:rsidRPr="00454833" w:rsidRDefault="00501E6D" w:rsidP="000A5DA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EPEE de Marseille</w:t>
            </w:r>
          </w:p>
        </w:tc>
        <w:tc>
          <w:tcPr>
            <w:tcW w:w="5296" w:type="dxa"/>
          </w:tcPr>
          <w:p w:rsidR="00501E6D" w:rsidRPr="00454833" w:rsidRDefault="00501E6D" w:rsidP="000A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 – Avril - Mai</w:t>
            </w:r>
          </w:p>
        </w:tc>
      </w:tr>
      <w:tr w:rsidR="00501E6D" w:rsidRPr="00454833" w:rsidTr="000A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501E6D" w:rsidRPr="00454833" w:rsidRDefault="00501E6D" w:rsidP="000A5DA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EPEE de Metz</w:t>
            </w:r>
          </w:p>
        </w:tc>
        <w:tc>
          <w:tcPr>
            <w:tcW w:w="5296" w:type="dxa"/>
          </w:tcPr>
          <w:p w:rsidR="00501E6D" w:rsidRPr="00454833" w:rsidRDefault="00501E6D" w:rsidP="000A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Juin – Juillet</w:t>
            </w:r>
          </w:p>
        </w:tc>
      </w:tr>
      <w:tr w:rsidR="00501E6D" w:rsidRPr="00454833" w:rsidTr="000A5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501E6D" w:rsidRDefault="00501E6D" w:rsidP="000A5DA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EPEE de Rennes</w:t>
            </w:r>
          </w:p>
        </w:tc>
        <w:tc>
          <w:tcPr>
            <w:tcW w:w="5296" w:type="dxa"/>
          </w:tcPr>
          <w:p w:rsidR="00501E6D" w:rsidRPr="00454833" w:rsidRDefault="00501E6D" w:rsidP="000A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Août – Septembre - Octobre</w:t>
            </w:r>
          </w:p>
        </w:tc>
      </w:tr>
      <w:tr w:rsidR="00501E6D" w:rsidRPr="00454833" w:rsidTr="000A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501E6D" w:rsidRPr="00501E6D" w:rsidRDefault="00501E6D" w:rsidP="000A5DA1">
            <w:pPr>
              <w:rPr>
                <w:b w:val="0"/>
                <w:bCs w:val="0"/>
                <w:sz w:val="22"/>
                <w:szCs w:val="22"/>
              </w:rPr>
            </w:pPr>
            <w:r w:rsidRPr="00501E6D">
              <w:rPr>
                <w:b w:val="0"/>
                <w:bCs w:val="0"/>
                <w:sz w:val="22"/>
                <w:szCs w:val="22"/>
              </w:rPr>
              <w:t>EPEE de St Germain en La</w:t>
            </w:r>
            <w:r>
              <w:rPr>
                <w:b w:val="0"/>
                <w:bCs w:val="0"/>
                <w:sz w:val="22"/>
                <w:szCs w:val="22"/>
              </w:rPr>
              <w:t>ye</w:t>
            </w:r>
          </w:p>
        </w:tc>
        <w:tc>
          <w:tcPr>
            <w:tcW w:w="5296" w:type="dxa"/>
          </w:tcPr>
          <w:p w:rsidR="00501E6D" w:rsidRPr="00454833" w:rsidRDefault="00501E6D" w:rsidP="000A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Novembre - Décembre</w:t>
            </w:r>
          </w:p>
        </w:tc>
      </w:tr>
    </w:tbl>
    <w:p w:rsidR="00501E6D" w:rsidRDefault="00501E6D" w:rsidP="00454833"/>
    <w:p w:rsidR="00454833" w:rsidRDefault="00501E6D" w:rsidP="00454833">
      <w:r>
        <w:t>En cas de problème d’intégration, ils informeront le chargé de clientèle concerné.</w:t>
      </w:r>
    </w:p>
    <w:p w:rsidR="00501E6D" w:rsidRDefault="00501E6D" w:rsidP="00501E6D">
      <w:pPr>
        <w:pStyle w:val="Titre3"/>
      </w:pPr>
      <w:r>
        <w:t>Gestion des erreurs de saisi</w:t>
      </w:r>
    </w:p>
    <w:p w:rsidR="00647308" w:rsidRDefault="00501E6D" w:rsidP="00501E6D">
      <w:r>
        <w:t xml:space="preserve">Une </w:t>
      </w:r>
      <w:r w:rsidR="00E81102">
        <w:t>opération</w:t>
      </w:r>
      <w:r>
        <w:t xml:space="preserve"> saisie dans le TN et validée par le client refacturé</w:t>
      </w:r>
      <w:r w:rsidR="00E81102">
        <w:t xml:space="preserve"> </w:t>
      </w:r>
      <w:r>
        <w:t xml:space="preserve">ne peut plus être annulée par l’UR. </w:t>
      </w:r>
      <w:r w:rsidR="00E81102">
        <w:t>Seul, le chargé de clientèle peut apporter des modifications dans le cœur e</w:t>
      </w:r>
      <w:r>
        <w:t>n cas d’</w:t>
      </w:r>
      <w:r w:rsidR="00E81102">
        <w:t>erreur</w:t>
      </w:r>
      <w:r>
        <w:t xml:space="preserve"> </w:t>
      </w:r>
      <w:r w:rsidR="00E81102">
        <w:t>(</w:t>
      </w:r>
      <w:r>
        <w:t xml:space="preserve">volume, </w:t>
      </w:r>
      <w:r w:rsidR="004B0CA8">
        <w:t>article</w:t>
      </w:r>
      <w:r w:rsidR="00E81102">
        <w:t xml:space="preserve">, </w:t>
      </w:r>
      <w:r w:rsidR="004B0CA8">
        <w:t>client</w:t>
      </w:r>
      <w:r w:rsidR="00E81102">
        <w:t>).</w:t>
      </w:r>
    </w:p>
    <w:p w:rsidR="00501E6D" w:rsidRPr="00501E6D" w:rsidRDefault="00647308" w:rsidP="00501E6D">
      <w:r>
        <w:t>Les modifications sont prises en compte sur présentation d’un justificatif signé des 2 parties : UR et client refacturé</w:t>
      </w:r>
      <w:r w:rsidR="00E81102">
        <w:t xml:space="preserve">. </w:t>
      </w:r>
      <w:r>
        <w:t>Le chargé de clientèle attachera l</w:t>
      </w:r>
      <w:r w:rsidR="00E81102">
        <w:t xml:space="preserve">e </w:t>
      </w:r>
      <w:r>
        <w:t xml:space="preserve">justificatif </w:t>
      </w:r>
      <w:r w:rsidR="00E81102">
        <w:t>aux documents de vente (ZAUR, ZVUR).</w:t>
      </w:r>
    </w:p>
    <w:p w:rsidR="00454833" w:rsidRDefault="00454833" w:rsidP="00454833">
      <w:pPr>
        <w:pStyle w:val="Titre2"/>
      </w:pPr>
      <w:r>
        <w:t>Cessions UR sans TN</w:t>
      </w:r>
    </w:p>
    <w:p w:rsidR="004D1BE9" w:rsidRPr="00E242E5" w:rsidRDefault="00647308" w:rsidP="004D1BE9">
      <w:pPr>
        <w:pStyle w:val="Titre3"/>
      </w:pPr>
      <w:r>
        <w:t xml:space="preserve">Action UR - </w:t>
      </w:r>
      <w:r w:rsidR="004D1BE9">
        <w:t>Cession</w:t>
      </w:r>
      <w:r w:rsidR="005D11A0">
        <w:t>s</w:t>
      </w:r>
      <w:r w:rsidR="004D1BE9">
        <w:t xml:space="preserve"> de carburant par l’UR </w:t>
      </w:r>
      <w:r w:rsidR="00414F15">
        <w:t>à d’autres clients du SEA</w:t>
      </w:r>
    </w:p>
    <w:p w:rsidR="004D1BE9" w:rsidRDefault="004D1BE9" w:rsidP="00E242E5"/>
    <w:p w:rsidR="00E242E5" w:rsidRDefault="00196957" w:rsidP="00E242E5">
      <w:r>
        <w:t>L’UR</w:t>
      </w:r>
      <w:r w:rsidR="00E242E5">
        <w:t xml:space="preserve"> est responsable de </w:t>
      </w:r>
      <w:r>
        <w:t>la</w:t>
      </w:r>
      <w:r w:rsidR="00E242E5">
        <w:t xml:space="preserve"> traçabilité des cessions </w:t>
      </w:r>
      <w:r w:rsidR="00414F15">
        <w:t>réalisées au profit d’autres clients du SEA</w:t>
      </w:r>
      <w:r w:rsidR="00E242E5">
        <w:t xml:space="preserve">. Les documents de traçabilité ou pièces justificatives (PJ) doivent être conservés par l'UR pendant une durée de 5 années. Ce document est assimilable à un bon de </w:t>
      </w:r>
      <w:r w:rsidR="00647308">
        <w:t>cession</w:t>
      </w:r>
      <w:r w:rsidR="00E242E5">
        <w:t>.</w:t>
      </w:r>
    </w:p>
    <w:p w:rsidR="00E242E5" w:rsidRDefault="00E242E5" w:rsidP="00E242E5">
      <w:r>
        <w:t> </w:t>
      </w:r>
    </w:p>
    <w:p w:rsidR="00E242E5" w:rsidRDefault="00E242E5" w:rsidP="00E242E5">
      <w:r>
        <w:t xml:space="preserve">En attente d'un nouveau document, le B19 ou le BMR sur lequel les codes SCALP sont ajoutés (cf. modèle) reste le document à privilégier. S'ils possèdent </w:t>
      </w:r>
      <w:proofErr w:type="gramStart"/>
      <w:r>
        <w:t>a</w:t>
      </w:r>
      <w:proofErr w:type="gramEnd"/>
      <w:r>
        <w:t xml:space="preserve"> minima les informations </w:t>
      </w:r>
      <w:r w:rsidR="00647308">
        <w:t>ci-dessous</w:t>
      </w:r>
      <w:r>
        <w:t>, les document</w:t>
      </w:r>
      <w:r w:rsidR="00746F87">
        <w:t>s</w:t>
      </w:r>
      <w:r>
        <w:t xml:space="preserve"> de type E1 de l'armée de terre ou de tout autre document peuvent être utilisés. Ces informations sont :</w:t>
      </w:r>
    </w:p>
    <w:p w:rsidR="004D1BE9" w:rsidRDefault="004D1BE9" w:rsidP="00E242E5"/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642"/>
        <w:gridCol w:w="2654"/>
        <w:gridCol w:w="2652"/>
        <w:gridCol w:w="2644"/>
      </w:tblGrid>
      <w:tr w:rsidR="00693D2E" w:rsidRPr="00454833" w:rsidTr="00693D2E">
        <w:tc>
          <w:tcPr>
            <w:tcW w:w="26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4D1BE9" w:rsidRPr="00454833" w:rsidRDefault="004D1BE9" w:rsidP="00E242E5">
            <w:pPr>
              <w:rPr>
                <w:color w:val="FFFFFF"/>
                <w:sz w:val="22"/>
                <w:szCs w:val="22"/>
              </w:rPr>
            </w:pPr>
            <w:r w:rsidRPr="00454833">
              <w:rPr>
                <w:color w:val="FFFFFF"/>
                <w:sz w:val="22"/>
                <w:szCs w:val="22"/>
              </w:rPr>
              <w:t>Informations concernant la PJ</w:t>
            </w:r>
          </w:p>
        </w:tc>
        <w:tc>
          <w:tcPr>
            <w:tcW w:w="268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4D1BE9" w:rsidRPr="00454833" w:rsidRDefault="004D1BE9" w:rsidP="00E242E5">
            <w:pPr>
              <w:rPr>
                <w:color w:val="FFFFFF"/>
                <w:sz w:val="22"/>
                <w:szCs w:val="22"/>
              </w:rPr>
            </w:pPr>
            <w:r w:rsidRPr="00454833">
              <w:rPr>
                <w:color w:val="FFFFFF"/>
                <w:sz w:val="22"/>
                <w:szCs w:val="22"/>
              </w:rPr>
              <w:t xml:space="preserve">Informations </w:t>
            </w:r>
            <w:r w:rsidR="00A709E4" w:rsidRPr="00454833">
              <w:rPr>
                <w:b/>
                <w:bCs/>
                <w:color w:val="FFFFFF"/>
                <w:sz w:val="22"/>
                <w:szCs w:val="22"/>
              </w:rPr>
              <w:t>logistiques</w:t>
            </w:r>
          </w:p>
        </w:tc>
        <w:tc>
          <w:tcPr>
            <w:tcW w:w="268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4D1BE9" w:rsidRPr="00454833" w:rsidRDefault="004D1BE9" w:rsidP="00E242E5">
            <w:pPr>
              <w:rPr>
                <w:color w:val="FFFFFF"/>
                <w:sz w:val="22"/>
                <w:szCs w:val="22"/>
              </w:rPr>
            </w:pPr>
            <w:r w:rsidRPr="00454833">
              <w:rPr>
                <w:color w:val="FFFFFF"/>
                <w:sz w:val="22"/>
                <w:szCs w:val="22"/>
              </w:rPr>
              <w:t>Informations sur l</w:t>
            </w:r>
            <w:r w:rsidR="001F6622" w:rsidRPr="00454833">
              <w:rPr>
                <w:color w:val="FFFFFF"/>
                <w:sz w:val="22"/>
                <w:szCs w:val="22"/>
              </w:rPr>
              <w:t>e client refacturé</w:t>
            </w:r>
          </w:p>
        </w:tc>
        <w:tc>
          <w:tcPr>
            <w:tcW w:w="26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4D1BE9" w:rsidRPr="00454833" w:rsidRDefault="004D1BE9" w:rsidP="00E242E5">
            <w:pPr>
              <w:rPr>
                <w:color w:val="FFFFFF"/>
                <w:sz w:val="22"/>
                <w:szCs w:val="22"/>
              </w:rPr>
            </w:pPr>
            <w:r w:rsidRPr="00454833">
              <w:rPr>
                <w:color w:val="FFFFFF"/>
                <w:sz w:val="22"/>
                <w:szCs w:val="22"/>
              </w:rPr>
              <w:t xml:space="preserve">Informations sur </w:t>
            </w:r>
            <w:r w:rsidR="001F6622" w:rsidRPr="00454833">
              <w:rPr>
                <w:color w:val="FFFFFF"/>
                <w:sz w:val="22"/>
                <w:szCs w:val="22"/>
              </w:rPr>
              <w:t>l’UR</w:t>
            </w:r>
          </w:p>
        </w:tc>
      </w:tr>
      <w:tr w:rsidR="00693D2E" w:rsidRPr="00693D2E" w:rsidTr="00693D2E">
        <w:tc>
          <w:tcPr>
            <w:tcW w:w="2685" w:type="dxa"/>
            <w:shd w:val="clear" w:color="auto" w:fill="EDEDED"/>
          </w:tcPr>
          <w:p w:rsidR="004D1BE9" w:rsidRPr="00693D2E" w:rsidRDefault="004D1BE9" w:rsidP="004D1BE9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Date de la PJ</w:t>
            </w:r>
          </w:p>
        </w:tc>
        <w:tc>
          <w:tcPr>
            <w:tcW w:w="2685" w:type="dxa"/>
            <w:shd w:val="clear" w:color="auto" w:fill="EDEDED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Date de la cession</w:t>
            </w:r>
          </w:p>
        </w:tc>
        <w:tc>
          <w:tcPr>
            <w:tcW w:w="2686" w:type="dxa"/>
            <w:shd w:val="clear" w:color="auto" w:fill="EDEDED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Code SCALP Client livré</w:t>
            </w:r>
          </w:p>
        </w:tc>
        <w:tc>
          <w:tcPr>
            <w:tcW w:w="2686" w:type="dxa"/>
            <w:shd w:val="clear" w:color="auto" w:fill="EDEDED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Code SCALP</w:t>
            </w:r>
            <w:r w:rsidR="00647308">
              <w:rPr>
                <w:sz w:val="22"/>
                <w:szCs w:val="22"/>
              </w:rPr>
              <w:t xml:space="preserve"> : </w:t>
            </w:r>
            <w:r w:rsidRPr="00693D2E">
              <w:rPr>
                <w:sz w:val="22"/>
                <w:szCs w:val="22"/>
              </w:rPr>
              <w:t>Client livré</w:t>
            </w:r>
          </w:p>
        </w:tc>
      </w:tr>
      <w:tr w:rsidR="00693D2E" w:rsidRPr="00693D2E" w:rsidTr="00693D2E">
        <w:tc>
          <w:tcPr>
            <w:tcW w:w="2685" w:type="dxa"/>
            <w:shd w:val="clear" w:color="auto" w:fill="auto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N° de la PJ</w:t>
            </w:r>
          </w:p>
        </w:tc>
        <w:tc>
          <w:tcPr>
            <w:tcW w:w="2685" w:type="dxa"/>
            <w:shd w:val="clear" w:color="auto" w:fill="auto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Produit et son conditionnement (article)</w:t>
            </w:r>
          </w:p>
        </w:tc>
        <w:tc>
          <w:tcPr>
            <w:tcW w:w="2686" w:type="dxa"/>
            <w:shd w:val="clear" w:color="auto" w:fill="auto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Désignation claire de l'unité</w:t>
            </w:r>
          </w:p>
        </w:tc>
        <w:tc>
          <w:tcPr>
            <w:tcW w:w="2686" w:type="dxa"/>
            <w:shd w:val="clear" w:color="auto" w:fill="auto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Désignation de l'UR</w:t>
            </w:r>
          </w:p>
        </w:tc>
      </w:tr>
      <w:tr w:rsidR="00693D2E" w:rsidRPr="00693D2E" w:rsidTr="00693D2E">
        <w:tc>
          <w:tcPr>
            <w:tcW w:w="2685" w:type="dxa"/>
            <w:shd w:val="clear" w:color="auto" w:fill="EDEDED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shd w:val="clear" w:color="auto" w:fill="EDEDED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Quantité</w:t>
            </w:r>
          </w:p>
        </w:tc>
        <w:tc>
          <w:tcPr>
            <w:tcW w:w="2686" w:type="dxa"/>
            <w:shd w:val="clear" w:color="auto" w:fill="EDEDED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Code SCALP Client Payeur</w:t>
            </w:r>
          </w:p>
        </w:tc>
        <w:tc>
          <w:tcPr>
            <w:tcW w:w="2686" w:type="dxa"/>
            <w:shd w:val="clear" w:color="auto" w:fill="EDEDED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Code SCALP</w:t>
            </w:r>
            <w:r w:rsidR="00647308">
              <w:rPr>
                <w:sz w:val="22"/>
                <w:szCs w:val="22"/>
              </w:rPr>
              <w:t xml:space="preserve"> : </w:t>
            </w:r>
            <w:r w:rsidRPr="00693D2E">
              <w:rPr>
                <w:sz w:val="22"/>
                <w:szCs w:val="22"/>
              </w:rPr>
              <w:t>Client Payeur</w:t>
            </w:r>
          </w:p>
        </w:tc>
      </w:tr>
      <w:tr w:rsidR="00693D2E" w:rsidRPr="00693D2E" w:rsidTr="00693D2E">
        <w:tc>
          <w:tcPr>
            <w:tcW w:w="2685" w:type="dxa"/>
            <w:shd w:val="clear" w:color="auto" w:fill="auto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shd w:val="clear" w:color="auto" w:fill="auto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Lieu (CP, Ville, Pays)</w:t>
            </w:r>
            <w:r w:rsidR="00647308">
              <w:rPr>
                <w:sz w:val="22"/>
                <w:szCs w:val="22"/>
              </w:rPr>
              <w:t xml:space="preserve"> de la prestation</w:t>
            </w:r>
          </w:p>
        </w:tc>
        <w:tc>
          <w:tcPr>
            <w:tcW w:w="2686" w:type="dxa"/>
            <w:shd w:val="clear" w:color="auto" w:fill="auto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Type et immatriculation du matériel ravitaillé</w:t>
            </w:r>
          </w:p>
        </w:tc>
        <w:tc>
          <w:tcPr>
            <w:tcW w:w="2686" w:type="dxa"/>
            <w:shd w:val="clear" w:color="auto" w:fill="auto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 </w:t>
            </w:r>
            <w:r w:rsidR="00647308">
              <w:rPr>
                <w:sz w:val="22"/>
                <w:szCs w:val="22"/>
              </w:rPr>
              <w:t>Désignation du client payeur</w:t>
            </w:r>
          </w:p>
        </w:tc>
      </w:tr>
      <w:tr w:rsidR="00693D2E" w:rsidRPr="00693D2E" w:rsidTr="00693D2E">
        <w:tc>
          <w:tcPr>
            <w:tcW w:w="2685" w:type="dxa"/>
            <w:shd w:val="clear" w:color="auto" w:fill="EDEDED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shd w:val="clear" w:color="auto" w:fill="EDEDED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 </w:t>
            </w:r>
          </w:p>
        </w:tc>
        <w:tc>
          <w:tcPr>
            <w:tcW w:w="2686" w:type="dxa"/>
            <w:shd w:val="clear" w:color="auto" w:fill="EDEDED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Grade, NOM Signature "paiement"</w:t>
            </w:r>
          </w:p>
        </w:tc>
        <w:tc>
          <w:tcPr>
            <w:tcW w:w="2686" w:type="dxa"/>
            <w:shd w:val="clear" w:color="auto" w:fill="EDEDED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 </w:t>
            </w:r>
          </w:p>
        </w:tc>
      </w:tr>
      <w:tr w:rsidR="00693D2E" w:rsidRPr="00693D2E" w:rsidTr="00693D2E">
        <w:tc>
          <w:tcPr>
            <w:tcW w:w="2685" w:type="dxa"/>
            <w:shd w:val="clear" w:color="auto" w:fill="auto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shd w:val="clear" w:color="auto" w:fill="auto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 </w:t>
            </w:r>
          </w:p>
        </w:tc>
        <w:tc>
          <w:tcPr>
            <w:tcW w:w="2686" w:type="dxa"/>
            <w:shd w:val="clear" w:color="auto" w:fill="auto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Option : Grade NOM Mail du POC CL (Comptable)</w:t>
            </w:r>
          </w:p>
        </w:tc>
        <w:tc>
          <w:tcPr>
            <w:tcW w:w="2686" w:type="dxa"/>
            <w:shd w:val="clear" w:color="auto" w:fill="auto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 </w:t>
            </w:r>
          </w:p>
        </w:tc>
      </w:tr>
      <w:tr w:rsidR="00693D2E" w:rsidRPr="00693D2E" w:rsidTr="00693D2E">
        <w:tc>
          <w:tcPr>
            <w:tcW w:w="2685" w:type="dxa"/>
            <w:shd w:val="clear" w:color="auto" w:fill="EDEDED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shd w:val="clear" w:color="auto" w:fill="EDEDED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 </w:t>
            </w:r>
          </w:p>
        </w:tc>
        <w:tc>
          <w:tcPr>
            <w:tcW w:w="2686" w:type="dxa"/>
            <w:shd w:val="clear" w:color="auto" w:fill="EDEDED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Option : Ancien code SEA</w:t>
            </w:r>
          </w:p>
        </w:tc>
        <w:tc>
          <w:tcPr>
            <w:tcW w:w="2686" w:type="dxa"/>
            <w:shd w:val="clear" w:color="auto" w:fill="EDEDED"/>
          </w:tcPr>
          <w:p w:rsidR="004D1BE9" w:rsidRPr="00693D2E" w:rsidRDefault="004D1BE9" w:rsidP="00693D2E">
            <w:pPr>
              <w:rPr>
                <w:sz w:val="22"/>
                <w:szCs w:val="22"/>
              </w:rPr>
            </w:pPr>
            <w:r w:rsidRPr="00693D2E">
              <w:rPr>
                <w:sz w:val="22"/>
                <w:szCs w:val="22"/>
              </w:rPr>
              <w:t> </w:t>
            </w:r>
          </w:p>
        </w:tc>
      </w:tr>
    </w:tbl>
    <w:p w:rsidR="004D1BE9" w:rsidRDefault="004D1BE9" w:rsidP="00E242E5"/>
    <w:p w:rsidR="004D1BE9" w:rsidRDefault="004D1BE9" w:rsidP="004D1BE9">
      <w:r>
        <w:t>La PJ ou bon de cession doit être réalisé en 2 exemplaires :</w:t>
      </w:r>
    </w:p>
    <w:p w:rsidR="004D1BE9" w:rsidRDefault="004D1BE9" w:rsidP="004D1BE9">
      <w:pPr>
        <w:numPr>
          <w:ilvl w:val="0"/>
          <w:numId w:val="11"/>
        </w:numPr>
      </w:pPr>
      <w:r>
        <w:t>1 exemplaire au profit de l'UR,</w:t>
      </w:r>
    </w:p>
    <w:p w:rsidR="004D1BE9" w:rsidRDefault="004D1BE9" w:rsidP="004D1BE9">
      <w:pPr>
        <w:numPr>
          <w:ilvl w:val="0"/>
          <w:numId w:val="11"/>
        </w:numPr>
      </w:pPr>
      <w:r>
        <w:t>1 exemplaire au profit du client refacturé.</w:t>
      </w:r>
    </w:p>
    <w:p w:rsidR="004D1BE9" w:rsidRDefault="004D1BE9" w:rsidP="00E242E5"/>
    <w:p w:rsidR="00CC78FF" w:rsidRDefault="00CC78FF" w:rsidP="00E242E5"/>
    <w:p w:rsidR="00647308" w:rsidRDefault="00647308" w:rsidP="00A709E4">
      <w:pPr>
        <w:pStyle w:val="Titre3"/>
        <w:rPr>
          <w:szCs w:val="24"/>
        </w:rPr>
      </w:pPr>
      <w:r>
        <w:rPr>
          <w:szCs w:val="24"/>
        </w:rPr>
        <w:lastRenderedPageBreak/>
        <w:t>Action UR – Transmission des informations au chargé de clientèle</w:t>
      </w:r>
    </w:p>
    <w:p w:rsidR="00647308" w:rsidRDefault="00647308" w:rsidP="00647308">
      <w:r>
        <w:t>En début de mois M, les UR doivent transmettre une synthèse des cessions du mois M-1 par client et par produit à leur chargé de clientèle. Cette synthèse doit être datée, numérotée et signée ou transmise par NEMO.</w:t>
      </w:r>
    </w:p>
    <w:p w:rsidR="00647308" w:rsidRDefault="00647308" w:rsidP="00647308">
      <w:pPr>
        <w:rPr>
          <w:i/>
          <w:iCs/>
        </w:rPr>
      </w:pPr>
      <w:r>
        <w:t xml:space="preserve">Pour réaliser cette synthèse, les UR utilisent le modèle de fichier </w:t>
      </w:r>
      <w:proofErr w:type="spellStart"/>
      <w:r>
        <w:t>excel</w:t>
      </w:r>
      <w:proofErr w:type="spellEnd"/>
      <w:r>
        <w:t xml:space="preserve"> : Fichier Excel </w:t>
      </w:r>
      <w:r>
        <w:rPr>
          <w:i/>
          <w:iCs/>
        </w:rPr>
        <w:t>UR-sans-</w:t>
      </w:r>
      <w:proofErr w:type="spellStart"/>
      <w:r>
        <w:rPr>
          <w:i/>
          <w:iCs/>
        </w:rPr>
        <w:t>TN_Fichier</w:t>
      </w:r>
      <w:proofErr w:type="spellEnd"/>
      <w:r>
        <w:rPr>
          <w:i/>
          <w:iCs/>
        </w:rPr>
        <w:t xml:space="preserve"> de saisi </w:t>
      </w:r>
      <w:r>
        <w:t>dans sa dernière version</w:t>
      </w:r>
      <w:r>
        <w:rPr>
          <w:i/>
          <w:iCs/>
        </w:rPr>
        <w:t>.</w:t>
      </w:r>
    </w:p>
    <w:p w:rsidR="00647308" w:rsidRPr="000E1965" w:rsidRDefault="00647308" w:rsidP="00647308">
      <w:r w:rsidRPr="000E1965">
        <w:t>La règle de nommage est la suivante :</w:t>
      </w:r>
    </w:p>
    <w:p w:rsidR="00647308" w:rsidRPr="00692464" w:rsidRDefault="00647308" w:rsidP="00647308">
      <w:pPr>
        <w:numPr>
          <w:ilvl w:val="0"/>
          <w:numId w:val="11"/>
        </w:numPr>
      </w:pPr>
      <w:proofErr w:type="spellStart"/>
      <w:proofErr w:type="gramStart"/>
      <w:r>
        <w:rPr>
          <w:i/>
          <w:iCs/>
        </w:rPr>
        <w:t>aaaammjj</w:t>
      </w:r>
      <w:proofErr w:type="gramEnd"/>
      <w:r>
        <w:rPr>
          <w:i/>
          <w:iCs/>
        </w:rPr>
        <w:t>_UR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xxxxxxxx_Synthèse</w:t>
      </w:r>
      <w:proofErr w:type="spellEnd"/>
      <w:r>
        <w:rPr>
          <w:i/>
          <w:iCs/>
        </w:rPr>
        <w:t>-des-cessions-Mois-Année</w:t>
      </w:r>
    </w:p>
    <w:p w:rsidR="00647308" w:rsidRPr="00692464" w:rsidRDefault="00647308" w:rsidP="00647308">
      <w:pPr>
        <w:numPr>
          <w:ilvl w:val="1"/>
          <w:numId w:val="11"/>
        </w:numPr>
      </w:pPr>
      <w:proofErr w:type="spellStart"/>
      <w:proofErr w:type="gramStart"/>
      <w:r>
        <w:rPr>
          <w:i/>
          <w:iCs/>
        </w:rPr>
        <w:t>aaaammjj</w:t>
      </w:r>
      <w:proofErr w:type="spellEnd"/>
      <w:proofErr w:type="gramEnd"/>
      <w:r>
        <w:rPr>
          <w:i/>
          <w:iCs/>
        </w:rPr>
        <w:t> :année mois jour de la création du document</w:t>
      </w:r>
    </w:p>
    <w:p w:rsidR="00647308" w:rsidRPr="00692464" w:rsidRDefault="00647308" w:rsidP="00647308">
      <w:pPr>
        <w:numPr>
          <w:ilvl w:val="1"/>
          <w:numId w:val="11"/>
        </w:numPr>
      </w:pPr>
      <w:proofErr w:type="spellStart"/>
      <w:proofErr w:type="gramStart"/>
      <w:r>
        <w:rPr>
          <w:i/>
          <w:iCs/>
        </w:rPr>
        <w:t>xxxxxxxx</w:t>
      </w:r>
      <w:proofErr w:type="spellEnd"/>
      <w:proofErr w:type="gramEnd"/>
      <w:r>
        <w:rPr>
          <w:i/>
          <w:iCs/>
        </w:rPr>
        <w:t> : n° SCALP client livré de l’UR</w:t>
      </w:r>
    </w:p>
    <w:p w:rsidR="00647308" w:rsidRDefault="00647308" w:rsidP="00647308">
      <w:pPr>
        <w:numPr>
          <w:ilvl w:val="0"/>
          <w:numId w:val="11"/>
        </w:numPr>
      </w:pPr>
      <w:r>
        <w:rPr>
          <w:i/>
          <w:iCs/>
        </w:rPr>
        <w:t>Exemple : 20200420_UR-21000472_synthèse-des-cessions-Mars-2020</w:t>
      </w:r>
    </w:p>
    <w:p w:rsidR="00647308" w:rsidRPr="00647308" w:rsidRDefault="00647308" w:rsidP="00647308"/>
    <w:p w:rsidR="00A709E4" w:rsidRDefault="00647308" w:rsidP="00A709E4">
      <w:pPr>
        <w:pStyle w:val="Titre3"/>
        <w:rPr>
          <w:szCs w:val="24"/>
        </w:rPr>
      </w:pPr>
      <w:r>
        <w:t xml:space="preserve">Action CC - </w:t>
      </w:r>
      <w:r w:rsidR="00A709E4">
        <w:t xml:space="preserve">Intégration </w:t>
      </w:r>
      <w:r w:rsidR="00B75246">
        <w:t xml:space="preserve">dans SCALP </w:t>
      </w:r>
      <w:r w:rsidR="00A709E4">
        <w:t xml:space="preserve">des cessions réalisées par l'UR </w:t>
      </w:r>
    </w:p>
    <w:p w:rsidR="009D5508" w:rsidRPr="003B2F86" w:rsidRDefault="00A709E4" w:rsidP="00A709E4">
      <w:r>
        <w:t xml:space="preserve">Les chargés de clientèle saisissent dans le </w:t>
      </w:r>
      <w:r w:rsidR="003B2F86">
        <w:t>SI</w:t>
      </w:r>
      <w:r>
        <w:t xml:space="preserve"> </w:t>
      </w:r>
      <w:r w:rsidR="003B2F86">
        <w:t xml:space="preserve">SCALP </w:t>
      </w:r>
      <w:r>
        <w:t>les flux d'avoir et de cession</w:t>
      </w:r>
      <w:r w:rsidR="009D5508">
        <w:t xml:space="preserve"> (ZAUR, ZVUR)</w:t>
      </w:r>
      <w:r>
        <w:t xml:space="preserve"> conformément à la fiche manuel utilisateur SCALP </w:t>
      </w:r>
      <w:r>
        <w:rPr>
          <w:i/>
          <w:iCs/>
        </w:rPr>
        <w:t xml:space="preserve">FMU_VEN_VA01- </w:t>
      </w:r>
      <w:proofErr w:type="spellStart"/>
      <w:r>
        <w:rPr>
          <w:i/>
          <w:iCs/>
        </w:rPr>
        <w:t>Gérer</w:t>
      </w:r>
      <w:proofErr w:type="spellEnd"/>
      <w:r>
        <w:rPr>
          <w:i/>
          <w:iCs/>
        </w:rPr>
        <w:t xml:space="preserve"> les commandes de vente </w:t>
      </w:r>
      <w:r>
        <w:t>et la fiche pratique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SCALP_CC_Fiche</w:t>
      </w:r>
      <w:proofErr w:type="spellEnd"/>
      <w:r>
        <w:rPr>
          <w:i/>
          <w:iCs/>
        </w:rPr>
        <w:t>-pratique-UR-sans-TN.</w:t>
      </w:r>
    </w:p>
    <w:p w:rsidR="004827A9" w:rsidRDefault="009D5508" w:rsidP="00A709E4">
      <w:pPr>
        <w:rPr>
          <w:i/>
          <w:iCs/>
        </w:rPr>
      </w:pPr>
      <w:r w:rsidRPr="009D5508">
        <w:t>Point</w:t>
      </w:r>
      <w:r w:rsidR="004827A9">
        <w:t>s</w:t>
      </w:r>
      <w:r w:rsidRPr="009D5508">
        <w:t xml:space="preserve"> particulier</w:t>
      </w:r>
      <w:r w:rsidR="004827A9">
        <w:t>s</w:t>
      </w:r>
      <w:r>
        <w:rPr>
          <w:i/>
          <w:iCs/>
        </w:rPr>
        <w:t> :</w:t>
      </w:r>
    </w:p>
    <w:p w:rsidR="00A709E4" w:rsidRDefault="00FD7F3D" w:rsidP="004827A9">
      <w:pPr>
        <w:numPr>
          <w:ilvl w:val="0"/>
          <w:numId w:val="11"/>
        </w:numPr>
      </w:pPr>
      <w:r w:rsidRPr="00FD7F3D">
        <w:t>La synthèse</w:t>
      </w:r>
      <w:r w:rsidR="009D5508">
        <w:t xml:space="preserve"> transmise par l’UR doit être intégrée </w:t>
      </w:r>
      <w:r w:rsidR="001F6622">
        <w:t xml:space="preserve">comme pièce jointe </w:t>
      </w:r>
      <w:r w:rsidR="009D5508">
        <w:t>dans SCALP à la commande de vente ZVUR justifiant ainsi le mouvement</w:t>
      </w:r>
      <w:r w:rsidRPr="00FD7F3D">
        <w:t>.</w:t>
      </w:r>
    </w:p>
    <w:p w:rsidR="004D1BE9" w:rsidRDefault="004827A9" w:rsidP="004827A9">
      <w:pPr>
        <w:numPr>
          <w:ilvl w:val="0"/>
          <w:numId w:val="11"/>
        </w:numPr>
      </w:pPr>
      <w:r>
        <w:t>L</w:t>
      </w:r>
      <w:r w:rsidR="00A709E4">
        <w:t>es UR doivent être en mesure de transmettre une copie des pièces justificatives de cession</w:t>
      </w:r>
      <w:r w:rsidR="003B2F86">
        <w:t xml:space="preserve"> signé par les 2 parties, sur demande du SEA, pendant une durée de 5 ans.</w:t>
      </w:r>
    </w:p>
    <w:p w:rsidR="004D1BE9" w:rsidRDefault="004D1BE9" w:rsidP="00E242E5"/>
    <w:p w:rsidR="00EF0C2B" w:rsidRDefault="00EF0C2B" w:rsidP="00A831AD">
      <w:pPr>
        <w:ind w:left="720"/>
        <w:jc w:val="both"/>
      </w:pPr>
    </w:p>
    <w:p w:rsidR="00283D2C" w:rsidRDefault="00FD7F3D" w:rsidP="009F7542">
      <w:pPr>
        <w:pStyle w:val="Titre2"/>
      </w:pPr>
      <w:r>
        <w:t>Facturation par le SEA</w:t>
      </w:r>
    </w:p>
    <w:p w:rsidR="00FD7F3D" w:rsidRDefault="00FD7F3D" w:rsidP="001F6622">
      <w:r>
        <w:t>Le bureau finance de la DELPIA procède à :</w:t>
      </w:r>
    </w:p>
    <w:p w:rsidR="00FD7F3D" w:rsidRDefault="00FD7F3D" w:rsidP="00FD7F3D">
      <w:pPr>
        <w:numPr>
          <w:ilvl w:val="0"/>
          <w:numId w:val="11"/>
        </w:numPr>
      </w:pPr>
      <w:r>
        <w:t xml:space="preserve">Une facture de vente pour le client refacturé. </w:t>
      </w:r>
      <w:r w:rsidR="009F7542">
        <w:t>La synthèse insérée en GED dans SCALP lui est transmise</w:t>
      </w:r>
      <w:r>
        <w:t>.</w:t>
      </w:r>
    </w:p>
    <w:p w:rsidR="00FD7F3D" w:rsidRDefault="00FD7F3D" w:rsidP="00FD7F3D">
      <w:pPr>
        <w:numPr>
          <w:ilvl w:val="0"/>
          <w:numId w:val="11"/>
        </w:numPr>
      </w:pPr>
      <w:r>
        <w:t>Une facture d'avoir pour l'UR</w:t>
      </w:r>
      <w:r w:rsidR="009F7542">
        <w:t>.</w:t>
      </w:r>
    </w:p>
    <w:p w:rsidR="00BC4DAE" w:rsidRDefault="00BC4DAE" w:rsidP="00A831AD"/>
    <w:p w:rsidR="00FD7F3D" w:rsidRPr="00BC4DAE" w:rsidRDefault="00FD7F3D" w:rsidP="009F7542"/>
    <w:p w:rsidR="00384EB8" w:rsidRDefault="009F7542" w:rsidP="00E242E5">
      <w:pPr>
        <w:pStyle w:val="Titre2"/>
      </w:pPr>
      <w:bookmarkStart w:id="15" w:name="_Toc273357188"/>
      <w:r>
        <w:t>Gestion des litiges</w:t>
      </w:r>
    </w:p>
    <w:p w:rsidR="009F7542" w:rsidRDefault="00E1212E" w:rsidP="009F7542">
      <w:r>
        <w:t>En cas de contestation d’un client refacturé, i</w:t>
      </w:r>
      <w:r w:rsidR="009F7542">
        <w:t>l est du ressort du chargé de clientèle d'identifier la nature du problème concernant un produit</w:t>
      </w:r>
      <w:r>
        <w:t xml:space="preserve"> (article)</w:t>
      </w:r>
      <w:r w:rsidR="009F7542">
        <w:t xml:space="preserve"> ou un volume.</w:t>
      </w:r>
      <w:r>
        <w:t xml:space="preserve"> Il demandera à l’UR les PJ permettant de lever le litige.</w:t>
      </w:r>
    </w:p>
    <w:p w:rsidR="009F7542" w:rsidRDefault="009F7542" w:rsidP="009F7542">
      <w:r>
        <w:t>Si une UR n'est pas en mesure de justifier une cession, celle-ci lui sera imputée.</w:t>
      </w:r>
    </w:p>
    <w:p w:rsidR="009F7542" w:rsidRDefault="009F7542" w:rsidP="009F7542">
      <w:pPr>
        <w:pStyle w:val="Corpsdetexte"/>
      </w:pPr>
    </w:p>
    <w:p w:rsidR="009F7542" w:rsidRPr="00CA6A0D" w:rsidRDefault="00BF37EF" w:rsidP="00CA6A0D">
      <w:pPr>
        <w:pStyle w:val="Titre2"/>
      </w:pPr>
      <w:r w:rsidRPr="00CA6A0D">
        <w:t>Création des UR</w:t>
      </w:r>
    </w:p>
    <w:p w:rsidR="00BF37EF" w:rsidRPr="00CA6A0D" w:rsidRDefault="00BF37EF" w:rsidP="009F7542">
      <w:pPr>
        <w:pStyle w:val="Corpsdetexte"/>
        <w:rPr>
          <w:color w:val="FF0000"/>
        </w:rPr>
      </w:pPr>
    </w:p>
    <w:p w:rsidR="00731721" w:rsidRDefault="00D32A85" w:rsidP="00731721">
      <w:pPr>
        <w:rPr>
          <w:sz w:val="22"/>
          <w:szCs w:val="22"/>
        </w:rPr>
      </w:pPr>
      <w:r w:rsidRPr="00CA6A0D">
        <w:t xml:space="preserve">Tout </w:t>
      </w:r>
      <w:r w:rsidR="00752B9B" w:rsidRPr="00CA6A0D">
        <w:t xml:space="preserve">client </w:t>
      </w:r>
      <w:r w:rsidRPr="00CA6A0D">
        <w:t>du SEA peut demander à obtenir le statut d’UR. Cette demande est à adresser à</w:t>
      </w:r>
      <w:r w:rsidR="00731721">
        <w:t xml:space="preserve"> </w:t>
      </w:r>
      <w:hyperlink r:id="rId10" w:history="1">
        <w:r w:rsidR="00731721">
          <w:rPr>
            <w:rStyle w:val="Lienhypertexte"/>
          </w:rPr>
          <w:t>dcsea.charge-client.fct@intradef.gouv.fr</w:t>
        </w:r>
      </w:hyperlink>
    </w:p>
    <w:p w:rsidR="00D32A85" w:rsidRDefault="00D32A85" w:rsidP="00CA6A0D">
      <w:pPr>
        <w:pStyle w:val="Titre1"/>
        <w:numPr>
          <w:ilvl w:val="0"/>
          <w:numId w:val="0"/>
        </w:numPr>
        <w:ind w:left="266"/>
      </w:pPr>
      <w:bookmarkStart w:id="16" w:name="_Toc516671336"/>
      <w:bookmarkStart w:id="17" w:name="_Toc40127419"/>
    </w:p>
    <w:p w:rsidR="00042993" w:rsidRDefault="00042993" w:rsidP="00042993">
      <w:pPr>
        <w:pStyle w:val="Titre1"/>
      </w:pPr>
      <w:r>
        <w:t>ENREGISTREMENT</w:t>
      </w:r>
      <w:r w:rsidR="009F7821">
        <w:t>S</w:t>
      </w:r>
      <w:bookmarkEnd w:id="16"/>
      <w:bookmarkEnd w:id="17"/>
    </w:p>
    <w:p w:rsidR="009F7542" w:rsidRDefault="009F7542" w:rsidP="009F7542">
      <w:r>
        <w:t>Les pièces justificatives de cession doivent être conservées pendant une durée de 5 ans par les UR.</w:t>
      </w:r>
    </w:p>
    <w:p w:rsidR="009F7542" w:rsidRDefault="009F7542" w:rsidP="009F7542">
      <w:r>
        <w:t>Les éléments de synthèse sont conservés en GED dans SCALP.</w:t>
      </w:r>
    </w:p>
    <w:p w:rsidR="003E27BC" w:rsidRDefault="003E27BC" w:rsidP="003E27BC"/>
    <w:p w:rsidR="009F7542" w:rsidRPr="003E27BC" w:rsidRDefault="009F7542" w:rsidP="003E27BC"/>
    <w:p w:rsidR="00485D9C" w:rsidRDefault="00485D9C" w:rsidP="00787D6E">
      <w:pPr>
        <w:pStyle w:val="Corpsdetexte"/>
        <w:spacing w:before="120"/>
      </w:pPr>
    </w:p>
    <w:bookmarkEnd w:id="15"/>
    <w:p w:rsidR="00D54D93" w:rsidRDefault="00D54D93" w:rsidP="00D54D93">
      <w:pPr>
        <w:jc w:val="center"/>
        <w:rPr>
          <w:b/>
        </w:rPr>
      </w:pPr>
    </w:p>
    <w:sectPr w:rsidR="00D54D93" w:rsidSect="001043E5">
      <w:headerReference w:type="default" r:id="rId11"/>
      <w:footerReference w:type="default" r:id="rId12"/>
      <w:pgSz w:w="11906" w:h="16838" w:code="9"/>
      <w:pgMar w:top="567" w:right="567" w:bottom="567" w:left="73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24" w:rsidRDefault="003E6124">
      <w:r>
        <w:separator/>
      </w:r>
    </w:p>
  </w:endnote>
  <w:endnote w:type="continuationSeparator" w:id="0">
    <w:p w:rsidR="003E6124" w:rsidRDefault="003E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8" w:rsidRDefault="000522D8" w:rsidP="000522D8">
    <w:pPr>
      <w:pStyle w:val="Pieddepage"/>
      <w:jc w:val="right"/>
      <w:rPr>
        <w:b/>
        <w:color w:val="FF000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E43320">
      <w:rPr>
        <w:rStyle w:val="Numrodepage"/>
        <w:noProof/>
        <w:sz w:val="20"/>
      </w:rPr>
      <w:t>4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E43320">
      <w:rPr>
        <w:rStyle w:val="Numrodepage"/>
        <w:noProof/>
        <w:sz w:val="20"/>
      </w:rPr>
      <w:t>4</w:t>
    </w:r>
    <w:r>
      <w:rPr>
        <w:rStyle w:val="Numrodepage"/>
        <w:sz w:val="20"/>
      </w:rPr>
      <w:fldChar w:fldCharType="end"/>
    </w:r>
  </w:p>
  <w:p w:rsidR="00CD28F6" w:rsidRPr="006B7C65" w:rsidRDefault="000522D8" w:rsidP="000522D8">
    <w:pPr>
      <w:pStyle w:val="Pieddepage"/>
      <w:jc w:val="center"/>
      <w:rPr>
        <w:b/>
        <w:color w:val="FF0000"/>
      </w:rPr>
    </w:pPr>
    <w:r w:rsidRPr="00342746">
      <w:rPr>
        <w:b/>
        <w:color w:val="FF0000"/>
      </w:rPr>
      <w:t xml:space="preserve">Seule la version </w:t>
    </w:r>
    <w:r>
      <w:rPr>
        <w:b/>
        <w:color w:val="FF0000"/>
      </w:rPr>
      <w:t xml:space="preserve">disponible à partir de l’application </w:t>
    </w:r>
    <w:proofErr w:type="spellStart"/>
    <w:r>
      <w:rPr>
        <w:b/>
        <w:color w:val="FF0000"/>
      </w:rPr>
      <w:t>SysMan</w:t>
    </w:r>
    <w:proofErr w:type="spellEnd"/>
    <w:r>
      <w:rPr>
        <w:b/>
        <w:color w:val="FF0000"/>
      </w:rPr>
      <w:t xml:space="preserve"> est valide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24" w:rsidRDefault="003E6124">
      <w:r>
        <w:separator/>
      </w:r>
    </w:p>
  </w:footnote>
  <w:footnote w:type="continuationSeparator" w:id="0">
    <w:p w:rsidR="003E6124" w:rsidRDefault="003E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0"/>
      <w:gridCol w:w="3296"/>
      <w:gridCol w:w="3891"/>
    </w:tblGrid>
    <w:tr w:rsidR="00CD28F6" w:rsidRPr="00E57DDB">
      <w:trPr>
        <w:cantSplit/>
        <w:trHeight w:val="394"/>
      </w:trPr>
      <w:tc>
        <w:tcPr>
          <w:tcW w:w="10737" w:type="dxa"/>
          <w:gridSpan w:val="3"/>
          <w:vAlign w:val="center"/>
        </w:tcPr>
        <w:p w:rsidR="00CD28F6" w:rsidRDefault="003E6124">
          <w:pPr>
            <w:pStyle w:val="Titre4"/>
            <w:spacing w:before="80"/>
            <w:rPr>
              <w:lang w:val="en-GB"/>
            </w:rPr>
          </w:pPr>
          <w:r>
            <w:rPr>
              <w:noProof/>
              <w:sz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5.5pt;margin-top:1.45pt;width:1in;height:31.45pt;z-index:251657728;mso-wrap-edited:f;mso-width-percent:0;mso-height-percent:0;mso-width-percent:0;mso-height-percent:0" wrapcoords="-225 0 -225 21086 21600 21086 21600 0 -225 0">
                <v:imagedata r:id="rId1" o:title=""/>
              </v:shape>
              <o:OLEObject Type="Embed" ProgID="PBrush" ShapeID="_x0000_s2049" DrawAspect="Content" ObjectID="_1653917047" r:id="rId2"/>
            </w:object>
          </w:r>
          <w:r w:rsidR="00CD28F6">
            <w:rPr>
              <w:lang w:val="en-GB"/>
            </w:rPr>
            <w:t xml:space="preserve">S E R V I C E    D E S    E S </w:t>
          </w:r>
          <w:proofErr w:type="spellStart"/>
          <w:r w:rsidR="00CD28F6">
            <w:rPr>
              <w:lang w:val="en-GB"/>
            </w:rPr>
            <w:t>S</w:t>
          </w:r>
          <w:proofErr w:type="spellEnd"/>
          <w:r w:rsidR="00CD28F6">
            <w:rPr>
              <w:lang w:val="en-GB"/>
            </w:rPr>
            <w:t xml:space="preserve"> E N C E S    D E S    A R M E </w:t>
          </w:r>
          <w:proofErr w:type="spellStart"/>
          <w:r w:rsidR="00CD28F6">
            <w:rPr>
              <w:lang w:val="en-GB"/>
            </w:rPr>
            <w:t>E</w:t>
          </w:r>
          <w:proofErr w:type="spellEnd"/>
          <w:r w:rsidR="00CD28F6">
            <w:rPr>
              <w:lang w:val="en-GB"/>
            </w:rPr>
            <w:t xml:space="preserve"> S</w:t>
          </w:r>
        </w:p>
      </w:tc>
    </w:tr>
    <w:tr w:rsidR="00CD28F6">
      <w:trPr>
        <w:trHeight w:val="226"/>
      </w:trPr>
      <w:tc>
        <w:tcPr>
          <w:tcW w:w="10737" w:type="dxa"/>
          <w:gridSpan w:val="3"/>
          <w:shd w:val="clear" w:color="auto" w:fill="auto"/>
          <w:vAlign w:val="center"/>
        </w:tcPr>
        <w:p w:rsidR="00CD28F6" w:rsidRPr="00F3625D" w:rsidRDefault="00883C34">
          <w:pPr>
            <w:jc w:val="center"/>
            <w:rPr>
              <w:rFonts w:ascii="Times New Roman Gras" w:hAnsi="Times New Roman Gras"/>
              <w:b/>
              <w:caps/>
            </w:rPr>
          </w:pPr>
          <w:r>
            <w:rPr>
              <w:rFonts w:ascii="Times New Roman Gras" w:hAnsi="Times New Roman Gras"/>
              <w:b/>
              <w:caps/>
            </w:rPr>
            <w:t>FOURNIR DES PRODUITS PETROLIERS</w:t>
          </w:r>
        </w:p>
      </w:tc>
    </w:tr>
    <w:tr w:rsidR="00CD28F6">
      <w:trPr>
        <w:trHeight w:val="345"/>
      </w:trPr>
      <w:tc>
        <w:tcPr>
          <w:tcW w:w="3550" w:type="dxa"/>
          <w:shd w:val="clear" w:color="auto" w:fill="auto"/>
          <w:vAlign w:val="center"/>
        </w:tcPr>
        <w:p w:rsidR="00CD28F6" w:rsidRDefault="00B57D0B" w:rsidP="00671E68">
          <w:pPr>
            <w:jc w:val="center"/>
          </w:pPr>
          <w:r>
            <w:t>PROC</w:t>
          </w:r>
          <w:r w:rsidR="004E7563">
            <w:t>MET</w:t>
          </w:r>
          <w:r>
            <w:t>-PROD</w:t>
          </w:r>
          <w:r w:rsidR="00791F48">
            <w:t>/DISRE</w:t>
          </w:r>
          <w:r>
            <w:t>-0</w:t>
          </w:r>
          <w:r w:rsidR="004E7563">
            <w:t>5</w:t>
          </w:r>
        </w:p>
      </w:tc>
      <w:tc>
        <w:tcPr>
          <w:tcW w:w="3296" w:type="dxa"/>
          <w:shd w:val="clear" w:color="auto" w:fill="auto"/>
          <w:vAlign w:val="center"/>
        </w:tcPr>
        <w:p w:rsidR="00CD28F6" w:rsidRDefault="00CD28F6" w:rsidP="00745ED1">
          <w:pPr>
            <w:jc w:val="center"/>
          </w:pPr>
          <w:r>
            <w:t xml:space="preserve">Édition n° </w:t>
          </w:r>
          <w:r w:rsidR="00883C34">
            <w:t>1</w:t>
          </w:r>
        </w:p>
      </w:tc>
      <w:tc>
        <w:tcPr>
          <w:tcW w:w="3891" w:type="dxa"/>
          <w:vAlign w:val="center"/>
        </w:tcPr>
        <w:p w:rsidR="00CD28F6" w:rsidRDefault="00CD28F6" w:rsidP="00E43320">
          <w:pPr>
            <w:jc w:val="center"/>
          </w:pPr>
          <w:r>
            <w:t>Date d’application : </w:t>
          </w:r>
          <w:r w:rsidR="00791F48">
            <w:t>01/0</w:t>
          </w:r>
          <w:r w:rsidR="00E43320">
            <w:t>6</w:t>
          </w:r>
          <w:r>
            <w:t>/</w:t>
          </w:r>
          <w:r w:rsidR="00883C34">
            <w:t>20</w:t>
          </w:r>
          <w:r w:rsidR="00791F48">
            <w:t>20</w:t>
          </w:r>
        </w:p>
      </w:tc>
    </w:tr>
    <w:tr w:rsidR="00CD28F6">
      <w:trPr>
        <w:trHeight w:val="345"/>
      </w:trPr>
      <w:tc>
        <w:tcPr>
          <w:tcW w:w="10737" w:type="dxa"/>
          <w:gridSpan w:val="3"/>
          <w:shd w:val="clear" w:color="auto" w:fill="auto"/>
          <w:vAlign w:val="center"/>
        </w:tcPr>
        <w:p w:rsidR="00CD28F6" w:rsidRDefault="00CE3D15" w:rsidP="00745ED1">
          <w:pPr>
            <w:jc w:val="center"/>
          </w:pPr>
          <w:r>
            <w:rPr>
              <w:b/>
            </w:rPr>
            <w:t xml:space="preserve">Prise en compte des </w:t>
          </w:r>
          <w:r w:rsidR="00171F94">
            <w:rPr>
              <w:b/>
            </w:rPr>
            <w:t>cessions de produits</w:t>
          </w:r>
          <w:r>
            <w:rPr>
              <w:b/>
            </w:rPr>
            <w:t xml:space="preserve"> pétroli</w:t>
          </w:r>
          <w:r w:rsidR="00171F94">
            <w:rPr>
              <w:b/>
            </w:rPr>
            <w:t>ers réalisées par les</w:t>
          </w:r>
          <w:r w:rsidR="00D72429">
            <w:rPr>
              <w:b/>
            </w:rPr>
            <w:t xml:space="preserve"> unités ravitailleuses </w:t>
          </w:r>
          <w:r w:rsidR="00E242E5">
            <w:rPr>
              <w:b/>
            </w:rPr>
            <w:t>(UR)</w:t>
          </w:r>
          <w:r w:rsidR="00C52D07">
            <w:rPr>
              <w:b/>
            </w:rPr>
            <w:t>.</w:t>
          </w:r>
        </w:p>
      </w:tc>
    </w:tr>
  </w:tbl>
  <w:p w:rsidR="00CD28F6" w:rsidRPr="00741B2A" w:rsidRDefault="00CD28F6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797"/>
    <w:multiLevelType w:val="hybridMultilevel"/>
    <w:tmpl w:val="41744F8E"/>
    <w:lvl w:ilvl="0" w:tplc="0D3C2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1477"/>
    <w:multiLevelType w:val="hybridMultilevel"/>
    <w:tmpl w:val="D05AB8FE"/>
    <w:lvl w:ilvl="0" w:tplc="20A01F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5808"/>
    <w:multiLevelType w:val="hybridMultilevel"/>
    <w:tmpl w:val="518CC5EA"/>
    <w:lvl w:ilvl="0" w:tplc="A9E8A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15B25"/>
    <w:multiLevelType w:val="multilevel"/>
    <w:tmpl w:val="AE0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8348B1"/>
    <w:multiLevelType w:val="hybridMultilevel"/>
    <w:tmpl w:val="C366A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7344"/>
    <w:multiLevelType w:val="multilevel"/>
    <w:tmpl w:val="B6FA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26165E"/>
    <w:multiLevelType w:val="hybridMultilevel"/>
    <w:tmpl w:val="DC86B94C"/>
    <w:lvl w:ilvl="0" w:tplc="0B24A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35578"/>
    <w:multiLevelType w:val="hybridMultilevel"/>
    <w:tmpl w:val="17D2339A"/>
    <w:lvl w:ilvl="0" w:tplc="40B49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571D0"/>
    <w:multiLevelType w:val="hybridMultilevel"/>
    <w:tmpl w:val="FAD8E334"/>
    <w:lvl w:ilvl="0" w:tplc="73A03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B35E4"/>
    <w:multiLevelType w:val="hybridMultilevel"/>
    <w:tmpl w:val="72A0FB98"/>
    <w:lvl w:ilvl="0" w:tplc="A8B25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0F43"/>
    <w:multiLevelType w:val="hybridMultilevel"/>
    <w:tmpl w:val="64A46900"/>
    <w:lvl w:ilvl="0" w:tplc="E9FE3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C1001"/>
    <w:multiLevelType w:val="multilevel"/>
    <w:tmpl w:val="FA007F78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266" w:hanging="266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259"/>
        </w:tabs>
        <w:ind w:left="1259" w:hanging="549"/>
      </w:pPr>
      <w:rPr>
        <w:rFonts w:hint="default"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"/>
        </w:tabs>
        <w:ind w:left="8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6"/>
        </w:tabs>
        <w:ind w:left="10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314"/>
        </w:tabs>
        <w:ind w:left="1314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602"/>
        </w:tabs>
        <w:ind w:left="1602" w:hanging="1584"/>
      </w:pPr>
      <w:rPr>
        <w:rFonts w:hint="default"/>
      </w:rPr>
    </w:lvl>
  </w:abstractNum>
  <w:abstractNum w:abstractNumId="12" w15:restartNumberingAfterBreak="0">
    <w:nsid w:val="75336B6A"/>
    <w:multiLevelType w:val="multilevel"/>
    <w:tmpl w:val="422049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C45DFD"/>
    <w:multiLevelType w:val="multilevel"/>
    <w:tmpl w:val="DF8EC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E61CD7"/>
    <w:multiLevelType w:val="multilevel"/>
    <w:tmpl w:val="DF8EC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3"/>
    <w:lvlOverride w:ilvl="0">
      <w:startOverride w:val="2"/>
    </w:lvlOverride>
  </w:num>
  <w:num w:numId="13">
    <w:abstractNumId w:val="14"/>
  </w:num>
  <w:num w:numId="14">
    <w:abstractNumId w:val="3"/>
  </w:num>
  <w:num w:numId="15">
    <w:abstractNumId w:val="12"/>
  </w:num>
  <w:num w:numId="16">
    <w:abstractNumId w:val="6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93"/>
    <w:rsid w:val="00016101"/>
    <w:rsid w:val="000211EE"/>
    <w:rsid w:val="00023BC2"/>
    <w:rsid w:val="000364A7"/>
    <w:rsid w:val="00042993"/>
    <w:rsid w:val="0004660A"/>
    <w:rsid w:val="00050158"/>
    <w:rsid w:val="0005201C"/>
    <w:rsid w:val="000522D8"/>
    <w:rsid w:val="00055A4B"/>
    <w:rsid w:val="00062388"/>
    <w:rsid w:val="00064D43"/>
    <w:rsid w:val="00072BA4"/>
    <w:rsid w:val="00076371"/>
    <w:rsid w:val="00080EE2"/>
    <w:rsid w:val="000A0AE4"/>
    <w:rsid w:val="000A37A7"/>
    <w:rsid w:val="000A4D12"/>
    <w:rsid w:val="000A55D6"/>
    <w:rsid w:val="000B79F4"/>
    <w:rsid w:val="000C2F40"/>
    <w:rsid w:val="000D119C"/>
    <w:rsid w:val="000D65D4"/>
    <w:rsid w:val="000E1965"/>
    <w:rsid w:val="000E4DBF"/>
    <w:rsid w:val="000F52A8"/>
    <w:rsid w:val="001043E5"/>
    <w:rsid w:val="00120E49"/>
    <w:rsid w:val="00121DDD"/>
    <w:rsid w:val="00125CEA"/>
    <w:rsid w:val="0012721C"/>
    <w:rsid w:val="00127D6F"/>
    <w:rsid w:val="00132684"/>
    <w:rsid w:val="00137840"/>
    <w:rsid w:val="001401F0"/>
    <w:rsid w:val="00153337"/>
    <w:rsid w:val="00162662"/>
    <w:rsid w:val="00166862"/>
    <w:rsid w:val="0016738D"/>
    <w:rsid w:val="0017010E"/>
    <w:rsid w:val="001704B1"/>
    <w:rsid w:val="00170556"/>
    <w:rsid w:val="00171F94"/>
    <w:rsid w:val="00173ECD"/>
    <w:rsid w:val="001759C3"/>
    <w:rsid w:val="0017619F"/>
    <w:rsid w:val="00181028"/>
    <w:rsid w:val="00187CF8"/>
    <w:rsid w:val="00196957"/>
    <w:rsid w:val="001A0270"/>
    <w:rsid w:val="001B3EE4"/>
    <w:rsid w:val="001B744D"/>
    <w:rsid w:val="001C03E3"/>
    <w:rsid w:val="001D37C6"/>
    <w:rsid w:val="001D40E7"/>
    <w:rsid w:val="001E0C0E"/>
    <w:rsid w:val="001F6622"/>
    <w:rsid w:val="00207A93"/>
    <w:rsid w:val="00216204"/>
    <w:rsid w:val="00227853"/>
    <w:rsid w:val="00251505"/>
    <w:rsid w:val="00260380"/>
    <w:rsid w:val="0026644E"/>
    <w:rsid w:val="00266723"/>
    <w:rsid w:val="00266A4A"/>
    <w:rsid w:val="002750EB"/>
    <w:rsid w:val="00280BEE"/>
    <w:rsid w:val="00282B5B"/>
    <w:rsid w:val="00283D2C"/>
    <w:rsid w:val="00284506"/>
    <w:rsid w:val="0029648B"/>
    <w:rsid w:val="002A1067"/>
    <w:rsid w:val="002A2B6E"/>
    <w:rsid w:val="002D0F86"/>
    <w:rsid w:val="002D75D4"/>
    <w:rsid w:val="002D7D13"/>
    <w:rsid w:val="00303EEF"/>
    <w:rsid w:val="00304DB0"/>
    <w:rsid w:val="00307CF2"/>
    <w:rsid w:val="00310F67"/>
    <w:rsid w:val="00314905"/>
    <w:rsid w:val="00315185"/>
    <w:rsid w:val="00322A98"/>
    <w:rsid w:val="00342E5D"/>
    <w:rsid w:val="00356364"/>
    <w:rsid w:val="00364995"/>
    <w:rsid w:val="00364AAD"/>
    <w:rsid w:val="003713BD"/>
    <w:rsid w:val="0037492B"/>
    <w:rsid w:val="0037591D"/>
    <w:rsid w:val="00376B22"/>
    <w:rsid w:val="003802EA"/>
    <w:rsid w:val="00384EB8"/>
    <w:rsid w:val="0038643E"/>
    <w:rsid w:val="00387F69"/>
    <w:rsid w:val="00397FD0"/>
    <w:rsid w:val="003A3372"/>
    <w:rsid w:val="003A7777"/>
    <w:rsid w:val="003B0D11"/>
    <w:rsid w:val="003B1CD1"/>
    <w:rsid w:val="003B2397"/>
    <w:rsid w:val="003B23B9"/>
    <w:rsid w:val="003B2F86"/>
    <w:rsid w:val="003C1671"/>
    <w:rsid w:val="003C1FE0"/>
    <w:rsid w:val="003C3BEE"/>
    <w:rsid w:val="003C46DF"/>
    <w:rsid w:val="003C4D49"/>
    <w:rsid w:val="003C6484"/>
    <w:rsid w:val="003D2ABD"/>
    <w:rsid w:val="003E27BC"/>
    <w:rsid w:val="003E389E"/>
    <w:rsid w:val="003E6124"/>
    <w:rsid w:val="003F24AC"/>
    <w:rsid w:val="003F469E"/>
    <w:rsid w:val="00405ED5"/>
    <w:rsid w:val="00414F15"/>
    <w:rsid w:val="004340ED"/>
    <w:rsid w:val="0044049A"/>
    <w:rsid w:val="00441053"/>
    <w:rsid w:val="00443583"/>
    <w:rsid w:val="00454833"/>
    <w:rsid w:val="0045570A"/>
    <w:rsid w:val="00455782"/>
    <w:rsid w:val="004712C4"/>
    <w:rsid w:val="00473FD4"/>
    <w:rsid w:val="00474326"/>
    <w:rsid w:val="004827A9"/>
    <w:rsid w:val="00485D9C"/>
    <w:rsid w:val="0048794B"/>
    <w:rsid w:val="00493306"/>
    <w:rsid w:val="00493E30"/>
    <w:rsid w:val="004A23B8"/>
    <w:rsid w:val="004B0CA8"/>
    <w:rsid w:val="004B4F34"/>
    <w:rsid w:val="004B524E"/>
    <w:rsid w:val="004B6F8C"/>
    <w:rsid w:val="004B77BB"/>
    <w:rsid w:val="004C00F7"/>
    <w:rsid w:val="004C4B51"/>
    <w:rsid w:val="004C5D9C"/>
    <w:rsid w:val="004D1709"/>
    <w:rsid w:val="004D1BE9"/>
    <w:rsid w:val="004E5543"/>
    <w:rsid w:val="004E700B"/>
    <w:rsid w:val="004E7563"/>
    <w:rsid w:val="004F0245"/>
    <w:rsid w:val="004F56FF"/>
    <w:rsid w:val="004F6322"/>
    <w:rsid w:val="00501841"/>
    <w:rsid w:val="00501E6D"/>
    <w:rsid w:val="00502399"/>
    <w:rsid w:val="00505722"/>
    <w:rsid w:val="0050734F"/>
    <w:rsid w:val="0051679E"/>
    <w:rsid w:val="00526CA5"/>
    <w:rsid w:val="00526DEB"/>
    <w:rsid w:val="005359F5"/>
    <w:rsid w:val="005407FB"/>
    <w:rsid w:val="0054656B"/>
    <w:rsid w:val="00547D61"/>
    <w:rsid w:val="00551F19"/>
    <w:rsid w:val="005567D0"/>
    <w:rsid w:val="00562AF8"/>
    <w:rsid w:val="00563A98"/>
    <w:rsid w:val="005712AC"/>
    <w:rsid w:val="00571478"/>
    <w:rsid w:val="005739A6"/>
    <w:rsid w:val="00573D7E"/>
    <w:rsid w:val="005772D5"/>
    <w:rsid w:val="00584614"/>
    <w:rsid w:val="005940F3"/>
    <w:rsid w:val="005A1AF6"/>
    <w:rsid w:val="005A311D"/>
    <w:rsid w:val="005C2A41"/>
    <w:rsid w:val="005C4BF0"/>
    <w:rsid w:val="005D11A0"/>
    <w:rsid w:val="005D1E3B"/>
    <w:rsid w:val="005D4587"/>
    <w:rsid w:val="005E7934"/>
    <w:rsid w:val="005F0998"/>
    <w:rsid w:val="005F63D4"/>
    <w:rsid w:val="005F691F"/>
    <w:rsid w:val="005F6FA0"/>
    <w:rsid w:val="006011B2"/>
    <w:rsid w:val="00602060"/>
    <w:rsid w:val="00614982"/>
    <w:rsid w:val="00615866"/>
    <w:rsid w:val="00621F2E"/>
    <w:rsid w:val="00623712"/>
    <w:rsid w:val="00634EC7"/>
    <w:rsid w:val="00647308"/>
    <w:rsid w:val="006600D2"/>
    <w:rsid w:val="00661273"/>
    <w:rsid w:val="00663802"/>
    <w:rsid w:val="00666288"/>
    <w:rsid w:val="00671E68"/>
    <w:rsid w:val="00675652"/>
    <w:rsid w:val="006825C3"/>
    <w:rsid w:val="00685DF1"/>
    <w:rsid w:val="00692464"/>
    <w:rsid w:val="00693D2E"/>
    <w:rsid w:val="00696DDD"/>
    <w:rsid w:val="006A59B5"/>
    <w:rsid w:val="006A7F7B"/>
    <w:rsid w:val="006B12A4"/>
    <w:rsid w:val="006B7C65"/>
    <w:rsid w:val="006C2D62"/>
    <w:rsid w:val="006C4030"/>
    <w:rsid w:val="006C6954"/>
    <w:rsid w:val="006D27B7"/>
    <w:rsid w:val="006E588A"/>
    <w:rsid w:val="006F425F"/>
    <w:rsid w:val="00713678"/>
    <w:rsid w:val="0071403F"/>
    <w:rsid w:val="007150F6"/>
    <w:rsid w:val="00715546"/>
    <w:rsid w:val="007171ED"/>
    <w:rsid w:val="007222F7"/>
    <w:rsid w:val="00724A44"/>
    <w:rsid w:val="007251F3"/>
    <w:rsid w:val="0072548F"/>
    <w:rsid w:val="00730313"/>
    <w:rsid w:val="00731721"/>
    <w:rsid w:val="007355B2"/>
    <w:rsid w:val="007372CC"/>
    <w:rsid w:val="0073759D"/>
    <w:rsid w:val="00741B2A"/>
    <w:rsid w:val="00745ED1"/>
    <w:rsid w:val="00746F87"/>
    <w:rsid w:val="0074799D"/>
    <w:rsid w:val="0075025A"/>
    <w:rsid w:val="00752B9B"/>
    <w:rsid w:val="0075757C"/>
    <w:rsid w:val="00764BFB"/>
    <w:rsid w:val="007664A9"/>
    <w:rsid w:val="007706F1"/>
    <w:rsid w:val="00775A1C"/>
    <w:rsid w:val="007769D6"/>
    <w:rsid w:val="00786D4B"/>
    <w:rsid w:val="00787D6E"/>
    <w:rsid w:val="0079045E"/>
    <w:rsid w:val="0079142E"/>
    <w:rsid w:val="00791F48"/>
    <w:rsid w:val="00793B16"/>
    <w:rsid w:val="00795F76"/>
    <w:rsid w:val="007B1988"/>
    <w:rsid w:val="007B4828"/>
    <w:rsid w:val="007B4EC9"/>
    <w:rsid w:val="007B7F5E"/>
    <w:rsid w:val="007C012A"/>
    <w:rsid w:val="007C33F9"/>
    <w:rsid w:val="007C3DE0"/>
    <w:rsid w:val="007C77DC"/>
    <w:rsid w:val="007D3C75"/>
    <w:rsid w:val="007D616D"/>
    <w:rsid w:val="007D7F6A"/>
    <w:rsid w:val="007E1456"/>
    <w:rsid w:val="007E1C3C"/>
    <w:rsid w:val="007E3FD0"/>
    <w:rsid w:val="007E436C"/>
    <w:rsid w:val="007E4C91"/>
    <w:rsid w:val="007E57A5"/>
    <w:rsid w:val="007F66A2"/>
    <w:rsid w:val="00804C20"/>
    <w:rsid w:val="00812269"/>
    <w:rsid w:val="00824AAA"/>
    <w:rsid w:val="00824F80"/>
    <w:rsid w:val="00825AD7"/>
    <w:rsid w:val="008261F4"/>
    <w:rsid w:val="00827406"/>
    <w:rsid w:val="00831711"/>
    <w:rsid w:val="00840341"/>
    <w:rsid w:val="00840A13"/>
    <w:rsid w:val="00844A10"/>
    <w:rsid w:val="00847601"/>
    <w:rsid w:val="00866172"/>
    <w:rsid w:val="00867CD7"/>
    <w:rsid w:val="0088157A"/>
    <w:rsid w:val="008818F5"/>
    <w:rsid w:val="008831F8"/>
    <w:rsid w:val="00883C34"/>
    <w:rsid w:val="00890AAC"/>
    <w:rsid w:val="008940BA"/>
    <w:rsid w:val="00896D72"/>
    <w:rsid w:val="008A381D"/>
    <w:rsid w:val="008B2601"/>
    <w:rsid w:val="008B74CC"/>
    <w:rsid w:val="008C0464"/>
    <w:rsid w:val="008C1017"/>
    <w:rsid w:val="008D1A3E"/>
    <w:rsid w:val="008E24E4"/>
    <w:rsid w:val="008E24F9"/>
    <w:rsid w:val="008F3F5B"/>
    <w:rsid w:val="00902033"/>
    <w:rsid w:val="00906C2A"/>
    <w:rsid w:val="00906C92"/>
    <w:rsid w:val="009112A5"/>
    <w:rsid w:val="009139E4"/>
    <w:rsid w:val="00915E78"/>
    <w:rsid w:val="00923490"/>
    <w:rsid w:val="00923548"/>
    <w:rsid w:val="00937D4D"/>
    <w:rsid w:val="00937DC2"/>
    <w:rsid w:val="00951051"/>
    <w:rsid w:val="00961259"/>
    <w:rsid w:val="009659E6"/>
    <w:rsid w:val="009666E1"/>
    <w:rsid w:val="00970A53"/>
    <w:rsid w:val="009741A0"/>
    <w:rsid w:val="00980869"/>
    <w:rsid w:val="00982A34"/>
    <w:rsid w:val="009A2553"/>
    <w:rsid w:val="009B2855"/>
    <w:rsid w:val="009D2AA3"/>
    <w:rsid w:val="009D5508"/>
    <w:rsid w:val="009D5F01"/>
    <w:rsid w:val="009F6A45"/>
    <w:rsid w:val="009F7542"/>
    <w:rsid w:val="009F7821"/>
    <w:rsid w:val="00A00D3C"/>
    <w:rsid w:val="00A072DB"/>
    <w:rsid w:val="00A104C5"/>
    <w:rsid w:val="00A16CD7"/>
    <w:rsid w:val="00A22553"/>
    <w:rsid w:val="00A23A0E"/>
    <w:rsid w:val="00A27A7B"/>
    <w:rsid w:val="00A30BEE"/>
    <w:rsid w:val="00A438B2"/>
    <w:rsid w:val="00A50A5C"/>
    <w:rsid w:val="00A553AC"/>
    <w:rsid w:val="00A642CD"/>
    <w:rsid w:val="00A709E4"/>
    <w:rsid w:val="00A732AF"/>
    <w:rsid w:val="00A80376"/>
    <w:rsid w:val="00A831AD"/>
    <w:rsid w:val="00AA54FD"/>
    <w:rsid w:val="00AA7DDA"/>
    <w:rsid w:val="00AB32C3"/>
    <w:rsid w:val="00AB6281"/>
    <w:rsid w:val="00AC003E"/>
    <w:rsid w:val="00AC0D26"/>
    <w:rsid w:val="00AC3BC2"/>
    <w:rsid w:val="00AD1FB9"/>
    <w:rsid w:val="00AE32E8"/>
    <w:rsid w:val="00AF1C69"/>
    <w:rsid w:val="00AF21CE"/>
    <w:rsid w:val="00AF4671"/>
    <w:rsid w:val="00AF79CA"/>
    <w:rsid w:val="00B10708"/>
    <w:rsid w:val="00B1086B"/>
    <w:rsid w:val="00B163C7"/>
    <w:rsid w:val="00B22F21"/>
    <w:rsid w:val="00B25CE4"/>
    <w:rsid w:val="00B32F1E"/>
    <w:rsid w:val="00B33CAA"/>
    <w:rsid w:val="00B41528"/>
    <w:rsid w:val="00B41C4E"/>
    <w:rsid w:val="00B42799"/>
    <w:rsid w:val="00B50A38"/>
    <w:rsid w:val="00B5377E"/>
    <w:rsid w:val="00B537FA"/>
    <w:rsid w:val="00B54709"/>
    <w:rsid w:val="00B56ACA"/>
    <w:rsid w:val="00B57D0B"/>
    <w:rsid w:val="00B57E0B"/>
    <w:rsid w:val="00B61302"/>
    <w:rsid w:val="00B740B9"/>
    <w:rsid w:val="00B744F6"/>
    <w:rsid w:val="00B74AB5"/>
    <w:rsid w:val="00B75246"/>
    <w:rsid w:val="00B77E20"/>
    <w:rsid w:val="00B86E58"/>
    <w:rsid w:val="00B9041C"/>
    <w:rsid w:val="00B933AC"/>
    <w:rsid w:val="00B95E8F"/>
    <w:rsid w:val="00B97375"/>
    <w:rsid w:val="00BA3322"/>
    <w:rsid w:val="00BA57BA"/>
    <w:rsid w:val="00BB0B2F"/>
    <w:rsid w:val="00BB227E"/>
    <w:rsid w:val="00BB2AD1"/>
    <w:rsid w:val="00BC00AE"/>
    <w:rsid w:val="00BC4DAE"/>
    <w:rsid w:val="00BC5459"/>
    <w:rsid w:val="00BC6935"/>
    <w:rsid w:val="00BD36BE"/>
    <w:rsid w:val="00BE22E6"/>
    <w:rsid w:val="00BE25E7"/>
    <w:rsid w:val="00BE2DE7"/>
    <w:rsid w:val="00BE64DB"/>
    <w:rsid w:val="00BF37EF"/>
    <w:rsid w:val="00C25EAD"/>
    <w:rsid w:val="00C31B06"/>
    <w:rsid w:val="00C457C6"/>
    <w:rsid w:val="00C52D07"/>
    <w:rsid w:val="00C5595C"/>
    <w:rsid w:val="00C57A3A"/>
    <w:rsid w:val="00C806F9"/>
    <w:rsid w:val="00C84B52"/>
    <w:rsid w:val="00C8523A"/>
    <w:rsid w:val="00C87F82"/>
    <w:rsid w:val="00C92B51"/>
    <w:rsid w:val="00CA08C3"/>
    <w:rsid w:val="00CA6A0D"/>
    <w:rsid w:val="00CB215C"/>
    <w:rsid w:val="00CB479B"/>
    <w:rsid w:val="00CC64CF"/>
    <w:rsid w:val="00CC78FF"/>
    <w:rsid w:val="00CD260A"/>
    <w:rsid w:val="00CD28F6"/>
    <w:rsid w:val="00CE0774"/>
    <w:rsid w:val="00CE3D15"/>
    <w:rsid w:val="00CF6F2F"/>
    <w:rsid w:val="00CF7A48"/>
    <w:rsid w:val="00D06066"/>
    <w:rsid w:val="00D10DE0"/>
    <w:rsid w:val="00D121F1"/>
    <w:rsid w:val="00D164AF"/>
    <w:rsid w:val="00D32A85"/>
    <w:rsid w:val="00D40632"/>
    <w:rsid w:val="00D4456B"/>
    <w:rsid w:val="00D4581B"/>
    <w:rsid w:val="00D537B3"/>
    <w:rsid w:val="00D54D93"/>
    <w:rsid w:val="00D60AE4"/>
    <w:rsid w:val="00D64431"/>
    <w:rsid w:val="00D6514D"/>
    <w:rsid w:val="00D6623F"/>
    <w:rsid w:val="00D70D03"/>
    <w:rsid w:val="00D72429"/>
    <w:rsid w:val="00D7327C"/>
    <w:rsid w:val="00D8069A"/>
    <w:rsid w:val="00D83296"/>
    <w:rsid w:val="00D839B9"/>
    <w:rsid w:val="00D8526B"/>
    <w:rsid w:val="00D8730A"/>
    <w:rsid w:val="00DA11D9"/>
    <w:rsid w:val="00DA14AB"/>
    <w:rsid w:val="00DA1B8E"/>
    <w:rsid w:val="00DC7F06"/>
    <w:rsid w:val="00DD2D56"/>
    <w:rsid w:val="00DD5C6E"/>
    <w:rsid w:val="00DE47C2"/>
    <w:rsid w:val="00DF25E6"/>
    <w:rsid w:val="00DF4B6F"/>
    <w:rsid w:val="00E008EC"/>
    <w:rsid w:val="00E07C81"/>
    <w:rsid w:val="00E1212E"/>
    <w:rsid w:val="00E242E5"/>
    <w:rsid w:val="00E25ACE"/>
    <w:rsid w:val="00E43320"/>
    <w:rsid w:val="00E4503A"/>
    <w:rsid w:val="00E54610"/>
    <w:rsid w:val="00E57DDB"/>
    <w:rsid w:val="00E65E74"/>
    <w:rsid w:val="00E76A9A"/>
    <w:rsid w:val="00E81102"/>
    <w:rsid w:val="00E865CC"/>
    <w:rsid w:val="00E86E60"/>
    <w:rsid w:val="00E91D6F"/>
    <w:rsid w:val="00EA6C2E"/>
    <w:rsid w:val="00EB7B7F"/>
    <w:rsid w:val="00EC10D6"/>
    <w:rsid w:val="00EC1C16"/>
    <w:rsid w:val="00ED4F57"/>
    <w:rsid w:val="00EE4A32"/>
    <w:rsid w:val="00EE79E0"/>
    <w:rsid w:val="00EF0C2B"/>
    <w:rsid w:val="00F04808"/>
    <w:rsid w:val="00F17434"/>
    <w:rsid w:val="00F20667"/>
    <w:rsid w:val="00F2681A"/>
    <w:rsid w:val="00F340B9"/>
    <w:rsid w:val="00F35D12"/>
    <w:rsid w:val="00F3625D"/>
    <w:rsid w:val="00F3677F"/>
    <w:rsid w:val="00F429E6"/>
    <w:rsid w:val="00F43C75"/>
    <w:rsid w:val="00F56759"/>
    <w:rsid w:val="00F62774"/>
    <w:rsid w:val="00F814F5"/>
    <w:rsid w:val="00F8170A"/>
    <w:rsid w:val="00F85F36"/>
    <w:rsid w:val="00F86F68"/>
    <w:rsid w:val="00F876FE"/>
    <w:rsid w:val="00F92625"/>
    <w:rsid w:val="00F978D3"/>
    <w:rsid w:val="00FA01BC"/>
    <w:rsid w:val="00FA3EBD"/>
    <w:rsid w:val="00FB226D"/>
    <w:rsid w:val="00FB3E74"/>
    <w:rsid w:val="00FB40B7"/>
    <w:rsid w:val="00FC154B"/>
    <w:rsid w:val="00FC7219"/>
    <w:rsid w:val="00FD0542"/>
    <w:rsid w:val="00FD3973"/>
    <w:rsid w:val="00FD577B"/>
    <w:rsid w:val="00FD7F3D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00BB46FF"/>
  <w15:chartTrackingRefBased/>
  <w15:docId w15:val="{15E054F5-7A95-1441-A5A3-42F3624E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E6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E242E5"/>
    <w:pPr>
      <w:numPr>
        <w:ilvl w:val="1"/>
        <w:numId w:val="1"/>
      </w:numPr>
      <w:spacing w:before="120"/>
      <w:ind w:left="0" w:firstLine="0"/>
      <w:jc w:val="both"/>
      <w:outlineLvl w:val="1"/>
    </w:pPr>
    <w:rPr>
      <w:b/>
      <w:bCs/>
      <w:noProof/>
    </w:rPr>
  </w:style>
  <w:style w:type="paragraph" w:styleId="Titre3">
    <w:name w:val="heading 3"/>
    <w:basedOn w:val="Normal"/>
    <w:next w:val="Normal"/>
    <w:qFormat/>
    <w:rsid w:val="00196957"/>
    <w:pPr>
      <w:numPr>
        <w:ilvl w:val="2"/>
        <w:numId w:val="1"/>
      </w:numPr>
      <w:spacing w:before="120"/>
      <w:ind w:left="0" w:firstLine="0"/>
      <w:jc w:val="both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mallCaps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</w:style>
  <w:style w:type="paragraph" w:styleId="TM1">
    <w:name w:val="toc 1"/>
    <w:basedOn w:val="Normal"/>
    <w:next w:val="Normal"/>
    <w:autoRedefine/>
    <w:uiPriority w:val="39"/>
    <w:rsid w:val="00364AAD"/>
    <w:pPr>
      <w:tabs>
        <w:tab w:val="left" w:pos="480"/>
        <w:tab w:val="right" w:leader="dot" w:pos="10592"/>
      </w:tabs>
    </w:pPr>
    <w:rPr>
      <w:noProof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Retraitcorpsdetexte">
    <w:name w:val="Body Text Indent"/>
    <w:basedOn w:val="Normal"/>
    <w:pPr>
      <w:ind w:left="360"/>
    </w:pPr>
  </w:style>
  <w:style w:type="table" w:styleId="Grilledutableau">
    <w:name w:val="Table Grid"/>
    <w:basedOn w:val="TableauNormal"/>
    <w:rsid w:val="00737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75D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6825C3"/>
    <w:rPr>
      <w:b/>
      <w:bCs/>
      <w:sz w:val="24"/>
      <w:szCs w:val="24"/>
    </w:rPr>
  </w:style>
  <w:style w:type="character" w:customStyle="1" w:styleId="Titre2Car">
    <w:name w:val="Titre 2 Car"/>
    <w:link w:val="Titre2"/>
    <w:rsid w:val="00E242E5"/>
    <w:rPr>
      <w:b/>
      <w:bCs/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42E5"/>
    <w:pPr>
      <w:spacing w:before="100" w:beforeAutospacing="1" w:after="100" w:afterAutospacing="1"/>
    </w:pPr>
  </w:style>
  <w:style w:type="table" w:styleId="TableauGrille4-Accentuation3">
    <w:name w:val="Grid Table 4 Accent 3"/>
    <w:basedOn w:val="TableauNormal"/>
    <w:uiPriority w:val="49"/>
    <w:rsid w:val="004D1BE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Paragraphedeliste">
    <w:name w:val="List Paragraph"/>
    <w:basedOn w:val="Normal"/>
    <w:uiPriority w:val="34"/>
    <w:qFormat/>
    <w:rsid w:val="005D11A0"/>
    <w:pPr>
      <w:ind w:left="720"/>
      <w:contextualSpacing/>
    </w:pPr>
  </w:style>
  <w:style w:type="character" w:customStyle="1" w:styleId="freedomtextbigtitle">
    <w:name w:val="freedomtextbigtitle"/>
    <w:basedOn w:val="Policepardfaut"/>
    <w:rsid w:val="00791F48"/>
  </w:style>
  <w:style w:type="character" w:styleId="Lienhypertextesuivivisit">
    <w:name w:val="FollowedHyperlink"/>
    <w:basedOn w:val="Policepardfaut"/>
    <w:uiPriority w:val="99"/>
    <w:semiHidden/>
    <w:unhideWhenUsed/>
    <w:rsid w:val="00791F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man-sea.intradef.gouv.fr/sea/?type=mailid=25125latest=Ymode=ma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csea.charge-client.fct@intradef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sman-sea.intradef.gouv.fr/sea/?app=FDL&amp;action=OPENDOC&amp;mode=view&amp;id=2876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1%20-%20Qualit&#233;\Documentation%20Qualit&#233;\20110623_DCE_Q_niveau%204\20110704_DCSEA_SDE1_QUALITE_Processus_Management\20110704_DCSEA_SDE1_QUALITE_Processus_Management_mod&#232;les%20et%20formulaires\Mod&#232;le%20proc&#233;dure%20-%20Ed.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5FF2-C559-4D19-B565-D3B42D38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procédure - Ed.6</Template>
  <TotalTime>92</TotalTime>
  <Pages>4</Pages>
  <Words>1287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abrogé : sans objet</vt:lpstr>
    </vt:vector>
  </TitlesOfParts>
  <Company>SEA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abrogé : sans objet</dc:title>
  <dc:subject/>
  <dc:creator>OUHIMI Laurent (DCE)</dc:creator>
  <cp:keywords/>
  <dc:description/>
  <cp:lastModifiedBy>LOISSEAU Sébastien ASP</cp:lastModifiedBy>
  <cp:revision>14</cp:revision>
  <cp:lastPrinted>2011-01-05T14:46:00Z</cp:lastPrinted>
  <dcterms:created xsi:type="dcterms:W3CDTF">2020-05-28T06:40:00Z</dcterms:created>
  <dcterms:modified xsi:type="dcterms:W3CDTF">2020-06-17T14:38:00Z</dcterms:modified>
</cp:coreProperties>
</file>